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72"/>
        </w:rPr>
      </w:pPr>
      <w:r>
        <w:rPr>
          <w:rFonts w:hint="eastAsia" w:ascii="宋体" w:hAnsi="宋体"/>
          <w:b/>
          <w:bCs/>
          <w:sz w:val="72"/>
        </w:rPr>
        <w:t>连云港市妇幼保健院</w:t>
      </w:r>
    </w:p>
    <w:p>
      <w:pPr>
        <w:jc w:val="center"/>
        <w:rPr>
          <w:rFonts w:ascii="宋体" w:hAnsi="宋体"/>
          <w:b/>
          <w:bCs/>
          <w:sz w:val="72"/>
        </w:rPr>
      </w:pPr>
    </w:p>
    <w:p>
      <w:pPr>
        <w:jc w:val="center"/>
        <w:rPr>
          <w:rFonts w:ascii="宋体" w:hAnsi="宋体"/>
          <w:b/>
          <w:bCs/>
          <w:sz w:val="52"/>
        </w:rPr>
      </w:pPr>
    </w:p>
    <w:p>
      <w:pPr>
        <w:jc w:val="center"/>
        <w:rPr>
          <w:rFonts w:ascii="宋体" w:hAnsi="宋体"/>
          <w:b/>
          <w:bCs/>
          <w:sz w:val="44"/>
        </w:rPr>
      </w:pPr>
    </w:p>
    <w:p>
      <w:pPr>
        <w:jc w:val="center"/>
        <w:rPr>
          <w:rFonts w:ascii="宋体" w:hAnsi="宋体"/>
          <w:b/>
          <w:bCs/>
          <w:sz w:val="96"/>
        </w:rPr>
      </w:pPr>
      <w:r>
        <w:rPr>
          <w:rFonts w:hint="eastAsia" w:ascii="宋体" w:hAnsi="宋体"/>
          <w:b/>
          <w:bCs/>
          <w:sz w:val="96"/>
        </w:rPr>
        <w:t>商谈文件</w:t>
      </w:r>
    </w:p>
    <w:p>
      <w:pPr>
        <w:jc w:val="center"/>
        <w:rPr>
          <w:rFonts w:ascii="宋体" w:hAnsi="宋体"/>
          <w:b/>
          <w:bCs/>
          <w:sz w:val="84"/>
        </w:rPr>
      </w:pPr>
    </w:p>
    <w:p>
      <w:pPr>
        <w:jc w:val="center"/>
        <w:rPr>
          <w:rFonts w:ascii="宋体" w:hAnsi="宋体"/>
          <w:b/>
          <w:bCs/>
          <w:sz w:val="84"/>
        </w:rPr>
      </w:pPr>
    </w:p>
    <w:p>
      <w:pPr>
        <w:jc w:val="center"/>
        <w:rPr>
          <w:rFonts w:ascii="宋体" w:hAnsi="宋体"/>
          <w:b/>
          <w:bCs/>
          <w:color w:val="000000"/>
          <w:sz w:val="36"/>
        </w:rPr>
      </w:pPr>
      <w:r>
        <w:rPr>
          <w:rFonts w:hint="eastAsia" w:ascii="宋体" w:hAnsi="宋体"/>
          <w:b/>
          <w:bCs/>
          <w:color w:val="000000"/>
          <w:sz w:val="36"/>
        </w:rPr>
        <w:t xml:space="preserve">商谈编号：  </w:t>
      </w:r>
    </w:p>
    <w:p>
      <w:pPr>
        <w:jc w:val="center"/>
        <w:rPr>
          <w:rFonts w:ascii="宋体" w:hAnsi="宋体"/>
          <w:b/>
          <w:bCs/>
          <w:sz w:val="32"/>
        </w:rPr>
      </w:pPr>
    </w:p>
    <w:p>
      <w:pPr>
        <w:jc w:val="center"/>
        <w:rPr>
          <w:rFonts w:ascii="宋体" w:hAnsi="宋体"/>
          <w:b/>
          <w:bCs/>
          <w:sz w:val="32"/>
        </w:rPr>
      </w:pPr>
    </w:p>
    <w:p>
      <w:pPr>
        <w:jc w:val="center"/>
        <w:rPr>
          <w:rFonts w:ascii="宋体" w:hAnsi="宋体"/>
          <w:b/>
          <w:bCs/>
          <w:sz w:val="32"/>
        </w:rPr>
      </w:pPr>
    </w:p>
    <w:p>
      <w:pPr>
        <w:jc w:val="center"/>
        <w:rPr>
          <w:rFonts w:ascii="宋体" w:hAnsi="宋体"/>
          <w:b/>
          <w:bCs/>
          <w:sz w:val="32"/>
        </w:rPr>
      </w:pPr>
    </w:p>
    <w:p>
      <w:pPr>
        <w:rPr>
          <w:rFonts w:ascii="宋体" w:hAnsi="宋体"/>
          <w:b/>
          <w:bCs/>
          <w:sz w:val="32"/>
        </w:rPr>
      </w:pPr>
    </w:p>
    <w:p>
      <w:pPr>
        <w:jc w:val="center"/>
        <w:rPr>
          <w:rFonts w:ascii="宋体" w:hAnsi="宋体"/>
          <w:b/>
          <w:bCs/>
          <w:sz w:val="36"/>
          <w:szCs w:val="30"/>
        </w:rPr>
      </w:pPr>
      <w:r>
        <w:rPr>
          <w:rFonts w:ascii="宋体" w:hAnsi="宋体"/>
          <w:b/>
          <w:bCs/>
          <w:sz w:val="36"/>
          <w:szCs w:val="30"/>
        </w:rPr>
        <w:br w:type="page"/>
      </w:r>
    </w:p>
    <w:p>
      <w:pPr>
        <w:jc w:val="center"/>
        <w:rPr>
          <w:rFonts w:ascii="宋体" w:hAnsi="宋体"/>
          <w:b/>
          <w:bCs/>
          <w:sz w:val="36"/>
          <w:szCs w:val="30"/>
        </w:rPr>
      </w:pPr>
      <w:r>
        <w:rPr>
          <w:rFonts w:hint="eastAsia" w:ascii="宋体" w:hAnsi="宋体"/>
          <w:b/>
          <w:bCs/>
          <w:sz w:val="36"/>
          <w:szCs w:val="30"/>
        </w:rPr>
        <w:t>目录</w:t>
      </w:r>
    </w:p>
    <w:p>
      <w:pPr>
        <w:rPr>
          <w:rFonts w:ascii="宋体" w:hAnsi="宋体"/>
          <w:sz w:val="30"/>
          <w:szCs w:val="30"/>
        </w:rPr>
      </w:pPr>
    </w:p>
    <w:p>
      <w:pPr>
        <w:rPr>
          <w:rFonts w:ascii="宋体" w:hAnsi="宋体"/>
          <w:sz w:val="30"/>
          <w:szCs w:val="30"/>
        </w:rPr>
      </w:pPr>
    </w:p>
    <w:p>
      <w:pPr>
        <w:spacing w:line="720" w:lineRule="auto"/>
        <w:rPr>
          <w:rFonts w:ascii="宋体" w:hAnsi="宋体"/>
          <w:sz w:val="30"/>
          <w:szCs w:val="30"/>
        </w:rPr>
      </w:pPr>
      <w:r>
        <w:rPr>
          <w:rFonts w:hint="eastAsia" w:ascii="宋体" w:hAnsi="宋体"/>
          <w:b/>
          <w:bCs/>
          <w:sz w:val="30"/>
          <w:szCs w:val="30"/>
        </w:rPr>
        <w:t xml:space="preserve">第一部分  </w:t>
      </w:r>
      <w:r>
        <w:rPr>
          <w:rFonts w:hint="eastAsia" w:ascii="宋体" w:hAnsi="宋体"/>
          <w:sz w:val="30"/>
          <w:szCs w:val="30"/>
        </w:rPr>
        <w:t xml:space="preserve">    参评方须知</w:t>
      </w:r>
    </w:p>
    <w:p>
      <w:pPr>
        <w:spacing w:line="720" w:lineRule="auto"/>
        <w:rPr>
          <w:rFonts w:ascii="宋体" w:hAnsi="宋体"/>
          <w:sz w:val="30"/>
          <w:szCs w:val="30"/>
        </w:rPr>
      </w:pPr>
      <w:r>
        <w:rPr>
          <w:rFonts w:hint="eastAsia" w:ascii="宋体" w:hAnsi="宋体"/>
          <w:b/>
          <w:bCs/>
          <w:sz w:val="30"/>
          <w:szCs w:val="30"/>
        </w:rPr>
        <w:t xml:space="preserve">第二部分     </w:t>
      </w:r>
      <w:r>
        <w:rPr>
          <w:rFonts w:hint="eastAsia" w:ascii="宋体" w:hAnsi="宋体"/>
          <w:sz w:val="30"/>
          <w:szCs w:val="30"/>
        </w:rPr>
        <w:t xml:space="preserve"> 项目需求说明及技术要求</w:t>
      </w:r>
    </w:p>
    <w:p>
      <w:pPr>
        <w:spacing w:line="720" w:lineRule="auto"/>
        <w:rPr>
          <w:rFonts w:ascii="宋体" w:hAnsi="宋体"/>
          <w:sz w:val="30"/>
          <w:szCs w:val="30"/>
        </w:rPr>
      </w:pPr>
      <w:r>
        <w:rPr>
          <w:rFonts w:hint="eastAsia" w:ascii="宋体" w:hAnsi="宋体"/>
          <w:b/>
          <w:bCs/>
          <w:sz w:val="30"/>
          <w:szCs w:val="30"/>
        </w:rPr>
        <w:t>第三部分</w:t>
      </w:r>
      <w:r>
        <w:rPr>
          <w:rFonts w:hint="eastAsia" w:ascii="宋体" w:hAnsi="宋体"/>
          <w:sz w:val="30"/>
          <w:szCs w:val="30"/>
        </w:rPr>
        <w:t xml:space="preserve">      采购文件格式</w:t>
      </w: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r>
        <w:rPr>
          <w:rFonts w:ascii="宋体" w:hAnsi="宋体"/>
          <w:sz w:val="30"/>
          <w:szCs w:val="30"/>
        </w:rPr>
        <w:br w:type="page"/>
      </w:r>
    </w:p>
    <w:p>
      <w:pPr>
        <w:rPr>
          <w:rFonts w:ascii="宋体" w:hAnsi="宋体"/>
          <w:sz w:val="30"/>
          <w:szCs w:val="30"/>
        </w:rPr>
      </w:pPr>
    </w:p>
    <w:p>
      <w:pPr>
        <w:spacing w:line="300" w:lineRule="auto"/>
        <w:jc w:val="center"/>
        <w:rPr>
          <w:rFonts w:ascii="宋体" w:hAnsi="宋体"/>
          <w:b/>
          <w:bCs/>
          <w:sz w:val="36"/>
          <w:szCs w:val="30"/>
        </w:rPr>
      </w:pPr>
    </w:p>
    <w:p>
      <w:pPr>
        <w:spacing w:line="300" w:lineRule="auto"/>
        <w:jc w:val="center"/>
        <w:rPr>
          <w:rFonts w:ascii="宋体" w:hAnsi="宋体"/>
          <w:b/>
          <w:bCs/>
          <w:sz w:val="36"/>
          <w:szCs w:val="30"/>
        </w:rPr>
      </w:pPr>
      <w:r>
        <w:rPr>
          <w:rFonts w:hint="eastAsia" w:ascii="宋体" w:hAnsi="宋体"/>
          <w:b/>
          <w:bCs/>
          <w:sz w:val="36"/>
          <w:szCs w:val="30"/>
        </w:rPr>
        <w:t>第一部分  参评方须知</w:t>
      </w:r>
    </w:p>
    <w:p>
      <w:pPr>
        <w:spacing w:line="300" w:lineRule="auto"/>
        <w:jc w:val="center"/>
        <w:rPr>
          <w:rFonts w:ascii="宋体" w:hAnsi="宋体"/>
          <w:b/>
          <w:bCs/>
          <w:sz w:val="36"/>
          <w:szCs w:val="30"/>
        </w:rPr>
      </w:pPr>
    </w:p>
    <w:p>
      <w:pPr>
        <w:spacing w:line="480" w:lineRule="auto"/>
        <w:jc w:val="center"/>
        <w:rPr>
          <w:rFonts w:ascii="宋体" w:hAnsi="宋体"/>
          <w:b/>
          <w:bCs/>
          <w:sz w:val="30"/>
          <w:szCs w:val="30"/>
        </w:rPr>
      </w:pPr>
      <w:r>
        <w:rPr>
          <w:rFonts w:hint="eastAsia" w:ascii="宋体" w:hAnsi="宋体"/>
          <w:b/>
          <w:bCs/>
          <w:sz w:val="30"/>
          <w:szCs w:val="30"/>
        </w:rPr>
        <w:t xml:space="preserve">一  参评方 </w:t>
      </w:r>
    </w:p>
    <w:p>
      <w:pPr>
        <w:tabs>
          <w:tab w:val="left" w:pos="735"/>
        </w:tabs>
        <w:spacing w:line="480" w:lineRule="auto"/>
        <w:rPr>
          <w:rFonts w:ascii="宋体" w:hAnsi="宋体"/>
          <w:b/>
          <w:bCs/>
          <w:sz w:val="24"/>
          <w:szCs w:val="30"/>
          <w:u w:val="single"/>
        </w:rPr>
      </w:pPr>
      <w:r>
        <w:rPr>
          <w:rFonts w:hint="eastAsia" w:ascii="宋体" w:hAnsi="宋体"/>
          <w:b/>
          <w:bCs/>
          <w:sz w:val="24"/>
          <w:szCs w:val="30"/>
        </w:rPr>
        <w:t xml:space="preserve">1·  </w:t>
      </w:r>
      <w:r>
        <w:rPr>
          <w:rFonts w:hint="eastAsia" w:ascii="宋体" w:hAnsi="宋体"/>
          <w:b/>
          <w:bCs/>
          <w:sz w:val="24"/>
          <w:szCs w:val="30"/>
          <w:u w:val="single"/>
        </w:rPr>
        <w:t>合格参评方的资质</w:t>
      </w:r>
    </w:p>
    <w:p>
      <w:pPr>
        <w:spacing w:line="360" w:lineRule="auto"/>
        <w:rPr>
          <w:rFonts w:ascii="宋体" w:hAnsi="宋体"/>
          <w:color w:val="000000"/>
          <w:sz w:val="24"/>
          <w:szCs w:val="24"/>
        </w:rPr>
      </w:pPr>
      <w:r>
        <w:rPr>
          <w:rFonts w:hint="eastAsia" w:ascii="宋体" w:hAnsi="宋体"/>
          <w:b/>
          <w:bCs/>
          <w:sz w:val="24"/>
          <w:szCs w:val="30"/>
        </w:rPr>
        <w:t xml:space="preserve">1．1  </w:t>
      </w:r>
      <w:r>
        <w:rPr>
          <w:rFonts w:hint="eastAsia" w:ascii="宋体" w:hAnsi="宋体"/>
          <w:color w:val="000000"/>
          <w:sz w:val="24"/>
          <w:szCs w:val="24"/>
        </w:rPr>
        <w:t>具有独立承担民事责任能力；</w:t>
      </w:r>
    </w:p>
    <w:p>
      <w:pPr>
        <w:spacing w:line="360" w:lineRule="auto"/>
        <w:rPr>
          <w:rFonts w:ascii="宋体" w:hAnsi="宋体"/>
          <w:color w:val="000000"/>
          <w:sz w:val="24"/>
          <w:szCs w:val="24"/>
        </w:rPr>
      </w:pPr>
      <w:r>
        <w:rPr>
          <w:rFonts w:hint="eastAsia" w:ascii="宋体" w:hAnsi="宋体"/>
          <w:b/>
          <w:bCs/>
          <w:sz w:val="24"/>
          <w:szCs w:val="30"/>
        </w:rPr>
        <w:t>1．2</w:t>
      </w:r>
      <w:r>
        <w:rPr>
          <w:rFonts w:hint="eastAsia" w:ascii="宋体" w:hAnsi="宋体"/>
          <w:sz w:val="24"/>
          <w:szCs w:val="30"/>
        </w:rPr>
        <w:t xml:space="preserve">  </w:t>
      </w:r>
      <w:r>
        <w:rPr>
          <w:rFonts w:hint="eastAsia" w:ascii="宋体" w:hAnsi="宋体"/>
          <w:color w:val="000000"/>
          <w:sz w:val="24"/>
          <w:szCs w:val="24"/>
        </w:rPr>
        <w:t>具有良好的商业信誉和健全的财务会计制度；</w:t>
      </w:r>
    </w:p>
    <w:p>
      <w:pPr>
        <w:spacing w:line="360" w:lineRule="auto"/>
        <w:rPr>
          <w:rFonts w:ascii="宋体" w:hAnsi="宋体"/>
          <w:color w:val="000000"/>
          <w:sz w:val="24"/>
          <w:szCs w:val="24"/>
        </w:rPr>
      </w:pPr>
      <w:r>
        <w:rPr>
          <w:rFonts w:hint="eastAsia" w:ascii="宋体" w:hAnsi="宋体"/>
          <w:b/>
          <w:bCs/>
          <w:sz w:val="24"/>
          <w:szCs w:val="30"/>
        </w:rPr>
        <w:t xml:space="preserve">1．3  </w:t>
      </w:r>
      <w:r>
        <w:rPr>
          <w:rFonts w:hint="eastAsia" w:ascii="宋体" w:hAnsi="宋体"/>
          <w:color w:val="000000"/>
          <w:sz w:val="24"/>
          <w:szCs w:val="24"/>
        </w:rPr>
        <w:t>具有履行合同所必需的设备和专业技术能力；</w:t>
      </w:r>
    </w:p>
    <w:p>
      <w:pPr>
        <w:spacing w:line="360" w:lineRule="auto"/>
        <w:rPr>
          <w:rFonts w:ascii="宋体" w:hAnsi="宋体"/>
          <w:color w:val="000000"/>
          <w:sz w:val="24"/>
          <w:szCs w:val="24"/>
        </w:rPr>
      </w:pPr>
      <w:r>
        <w:rPr>
          <w:rFonts w:hint="eastAsia" w:ascii="宋体" w:hAnsi="宋体"/>
          <w:b/>
          <w:bCs/>
          <w:sz w:val="24"/>
          <w:szCs w:val="30"/>
        </w:rPr>
        <w:t xml:space="preserve">1．4  </w:t>
      </w:r>
      <w:r>
        <w:rPr>
          <w:rFonts w:hint="eastAsia" w:ascii="宋体" w:hAnsi="宋体"/>
          <w:color w:val="000000"/>
          <w:sz w:val="24"/>
          <w:szCs w:val="24"/>
        </w:rPr>
        <w:t>有依法缴纳税收和社会保障资金的良好记录；</w:t>
      </w:r>
    </w:p>
    <w:p>
      <w:pPr>
        <w:spacing w:line="360" w:lineRule="auto"/>
        <w:rPr>
          <w:rFonts w:ascii="宋体" w:hAnsi="宋体"/>
          <w:color w:val="000000"/>
          <w:sz w:val="24"/>
          <w:szCs w:val="24"/>
        </w:rPr>
      </w:pPr>
      <w:r>
        <w:rPr>
          <w:rFonts w:hint="eastAsia" w:ascii="宋体" w:hAnsi="宋体"/>
          <w:b/>
          <w:bCs/>
          <w:sz w:val="24"/>
          <w:szCs w:val="30"/>
        </w:rPr>
        <w:t>1．5</w:t>
      </w:r>
      <w:r>
        <w:rPr>
          <w:rFonts w:ascii="宋体" w:hAnsi="宋体"/>
          <w:b/>
          <w:bCs/>
          <w:sz w:val="24"/>
          <w:szCs w:val="30"/>
        </w:rPr>
        <w:t xml:space="preserve">  </w:t>
      </w:r>
      <w:r>
        <w:rPr>
          <w:rFonts w:hint="eastAsia" w:ascii="宋体" w:hAnsi="宋体"/>
          <w:color w:val="000000"/>
          <w:sz w:val="24"/>
          <w:szCs w:val="24"/>
        </w:rPr>
        <w:t xml:space="preserve">参加本商谈活动前三年内，在经营中没有重大违法记录； </w:t>
      </w:r>
    </w:p>
    <w:p>
      <w:pPr>
        <w:spacing w:line="360" w:lineRule="auto"/>
        <w:rPr>
          <w:rFonts w:ascii="宋体" w:hAnsi="宋体"/>
          <w:color w:val="000000"/>
          <w:sz w:val="24"/>
          <w:szCs w:val="24"/>
        </w:rPr>
      </w:pPr>
      <w:r>
        <w:rPr>
          <w:rFonts w:hint="eastAsia" w:ascii="宋体" w:hAnsi="宋体"/>
          <w:b/>
          <w:bCs/>
          <w:sz w:val="24"/>
          <w:szCs w:val="30"/>
        </w:rPr>
        <w:t>1．6</w:t>
      </w:r>
      <w:r>
        <w:rPr>
          <w:rFonts w:ascii="宋体" w:hAnsi="宋体"/>
          <w:b/>
          <w:bCs/>
          <w:sz w:val="24"/>
          <w:szCs w:val="30"/>
        </w:rPr>
        <w:t xml:space="preserve">  </w:t>
      </w:r>
      <w:r>
        <w:rPr>
          <w:rFonts w:hint="eastAsia" w:ascii="宋体" w:hAnsi="宋体" w:cs="Arial"/>
          <w:color w:val="000000"/>
          <w:kern w:val="0"/>
          <w:sz w:val="24"/>
          <w:szCs w:val="24"/>
        </w:rPr>
        <w:t>本次商谈不接受联合体商谈。</w:t>
      </w:r>
    </w:p>
    <w:p>
      <w:pPr>
        <w:widowControl/>
        <w:spacing w:line="360" w:lineRule="auto"/>
        <w:jc w:val="left"/>
        <w:rPr>
          <w:rFonts w:ascii="宋体" w:hAnsi="宋体" w:cs="Arial"/>
          <w:color w:val="000000"/>
          <w:kern w:val="0"/>
          <w:sz w:val="24"/>
          <w:szCs w:val="24"/>
        </w:rPr>
      </w:pPr>
      <w:r>
        <w:rPr>
          <w:rFonts w:hint="eastAsia" w:ascii="宋体" w:hAnsi="宋体" w:cs="Arial"/>
          <w:color w:val="000000"/>
          <w:kern w:val="0"/>
          <w:sz w:val="24"/>
          <w:szCs w:val="24"/>
        </w:rPr>
        <w:t>注：所提供资质材料需盖单位公章。</w:t>
      </w:r>
    </w:p>
    <w:p>
      <w:pPr>
        <w:spacing w:line="300" w:lineRule="auto"/>
        <w:ind w:left="720" w:hanging="720" w:hangingChars="300"/>
        <w:rPr>
          <w:rFonts w:ascii="宋体" w:hAnsi="宋体"/>
          <w:sz w:val="24"/>
          <w:szCs w:val="30"/>
        </w:rPr>
      </w:pPr>
    </w:p>
    <w:p>
      <w:pPr>
        <w:spacing w:line="480" w:lineRule="auto"/>
        <w:rPr>
          <w:rFonts w:ascii="宋体" w:hAnsi="宋体"/>
          <w:b/>
          <w:bCs/>
          <w:sz w:val="24"/>
          <w:szCs w:val="30"/>
          <w:u w:val="single"/>
        </w:rPr>
      </w:pPr>
      <w:r>
        <w:rPr>
          <w:rFonts w:hint="eastAsia" w:ascii="宋体" w:hAnsi="宋体"/>
          <w:b/>
          <w:bCs/>
          <w:sz w:val="24"/>
          <w:szCs w:val="30"/>
        </w:rPr>
        <w:t xml:space="preserve">2·  </w:t>
      </w:r>
      <w:r>
        <w:rPr>
          <w:rFonts w:hint="eastAsia" w:ascii="宋体" w:hAnsi="宋体"/>
          <w:b/>
          <w:bCs/>
          <w:sz w:val="24"/>
          <w:szCs w:val="30"/>
          <w:u w:val="single"/>
        </w:rPr>
        <w:t>参评委托</w:t>
      </w:r>
    </w:p>
    <w:p>
      <w:pPr>
        <w:spacing w:line="300" w:lineRule="auto"/>
        <w:ind w:left="723" w:hanging="723" w:hangingChars="300"/>
        <w:rPr>
          <w:rFonts w:ascii="宋体" w:hAnsi="宋体"/>
          <w:color w:val="FF0000"/>
          <w:sz w:val="24"/>
          <w:szCs w:val="30"/>
        </w:rPr>
      </w:pPr>
      <w:r>
        <w:rPr>
          <w:rFonts w:hint="eastAsia" w:ascii="宋体" w:hAnsi="宋体"/>
          <w:b/>
          <w:bCs/>
          <w:sz w:val="24"/>
          <w:szCs w:val="30"/>
        </w:rPr>
        <w:t>2．1</w:t>
      </w:r>
      <w:r>
        <w:rPr>
          <w:rFonts w:hint="eastAsia" w:ascii="宋体" w:hAnsi="宋体"/>
          <w:sz w:val="24"/>
          <w:szCs w:val="30"/>
        </w:rPr>
        <w:t xml:space="preserve">  如参评方代表不是法人代表，须持有《法人代表授权书》。</w:t>
      </w:r>
    </w:p>
    <w:p>
      <w:pPr>
        <w:spacing w:line="480" w:lineRule="auto"/>
        <w:rPr>
          <w:rFonts w:ascii="宋体" w:hAnsi="宋体"/>
          <w:b/>
          <w:bCs/>
          <w:sz w:val="24"/>
          <w:szCs w:val="30"/>
          <w:u w:val="single"/>
        </w:rPr>
      </w:pPr>
      <w:r>
        <w:rPr>
          <w:rFonts w:hint="eastAsia" w:ascii="宋体" w:hAnsi="宋体"/>
          <w:b/>
          <w:bCs/>
          <w:sz w:val="24"/>
          <w:szCs w:val="30"/>
        </w:rPr>
        <w:t xml:space="preserve"> </w:t>
      </w:r>
    </w:p>
    <w:p>
      <w:pPr>
        <w:spacing w:line="480" w:lineRule="auto"/>
        <w:ind w:firstLine="4216" w:firstLineChars="1400"/>
        <w:rPr>
          <w:rFonts w:ascii="宋体" w:hAnsi="宋体"/>
          <w:b/>
          <w:bCs/>
          <w:sz w:val="30"/>
          <w:szCs w:val="30"/>
        </w:rPr>
      </w:pPr>
      <w:r>
        <w:rPr>
          <w:rFonts w:hint="eastAsia" w:ascii="宋体" w:hAnsi="宋体"/>
          <w:b/>
          <w:bCs/>
          <w:sz w:val="30"/>
          <w:szCs w:val="30"/>
        </w:rPr>
        <w:t>二  商谈文件</w:t>
      </w:r>
    </w:p>
    <w:p>
      <w:pPr>
        <w:tabs>
          <w:tab w:val="left" w:pos="840"/>
        </w:tabs>
        <w:spacing w:line="480" w:lineRule="auto"/>
        <w:rPr>
          <w:rFonts w:ascii="宋体" w:hAnsi="宋体"/>
          <w:b/>
          <w:bCs/>
          <w:sz w:val="24"/>
          <w:szCs w:val="30"/>
          <w:u w:val="single"/>
        </w:rPr>
      </w:pPr>
      <w:r>
        <w:rPr>
          <w:rFonts w:hint="eastAsia" w:ascii="宋体" w:hAnsi="宋体"/>
          <w:b/>
          <w:bCs/>
          <w:sz w:val="24"/>
          <w:szCs w:val="30"/>
        </w:rPr>
        <w:t>3·</w:t>
      </w:r>
      <w:r>
        <w:rPr>
          <w:rFonts w:hint="eastAsia" w:ascii="宋体" w:hAnsi="宋体"/>
          <w:sz w:val="24"/>
          <w:szCs w:val="30"/>
        </w:rPr>
        <w:t xml:space="preserve">  </w:t>
      </w:r>
      <w:r>
        <w:rPr>
          <w:rFonts w:hint="eastAsia" w:ascii="宋体" w:hAnsi="宋体"/>
          <w:b/>
          <w:bCs/>
          <w:sz w:val="24"/>
          <w:szCs w:val="30"/>
          <w:u w:val="single"/>
        </w:rPr>
        <w:t>商谈文件</w:t>
      </w:r>
    </w:p>
    <w:p>
      <w:pPr>
        <w:spacing w:line="300" w:lineRule="auto"/>
        <w:rPr>
          <w:rFonts w:ascii="宋体" w:hAnsi="宋体"/>
          <w:sz w:val="24"/>
          <w:szCs w:val="30"/>
        </w:rPr>
      </w:pPr>
      <w:r>
        <w:rPr>
          <w:rFonts w:hint="eastAsia" w:ascii="宋体" w:hAnsi="宋体"/>
          <w:b/>
          <w:bCs/>
          <w:sz w:val="24"/>
          <w:szCs w:val="30"/>
        </w:rPr>
        <w:t>3．1</w:t>
      </w:r>
      <w:r>
        <w:rPr>
          <w:rFonts w:hint="eastAsia" w:ascii="宋体" w:hAnsi="宋体"/>
          <w:sz w:val="24"/>
          <w:szCs w:val="30"/>
        </w:rPr>
        <w:t xml:space="preserve">  商谈文件由商谈文件目录所列内容组成。</w:t>
      </w:r>
    </w:p>
    <w:p>
      <w:pPr>
        <w:spacing w:line="300" w:lineRule="auto"/>
        <w:ind w:left="723" w:hanging="723" w:hangingChars="300"/>
        <w:rPr>
          <w:rFonts w:ascii="宋体" w:hAnsi="宋体"/>
          <w:sz w:val="24"/>
          <w:szCs w:val="30"/>
        </w:rPr>
      </w:pPr>
      <w:r>
        <w:rPr>
          <w:rFonts w:hint="eastAsia" w:ascii="宋体" w:hAnsi="宋体"/>
          <w:b/>
          <w:bCs/>
          <w:sz w:val="24"/>
          <w:szCs w:val="30"/>
        </w:rPr>
        <w:t xml:space="preserve">3．2  </w:t>
      </w:r>
      <w:r>
        <w:rPr>
          <w:rFonts w:hint="eastAsia" w:ascii="宋体" w:hAnsi="宋体"/>
          <w:sz w:val="24"/>
          <w:szCs w:val="30"/>
        </w:rPr>
        <w:t>参评方应详细阅读商谈文件的全部内容。不按商谈文件的要求提供参评文件和资料，可能导致其参评被拒绝。</w:t>
      </w:r>
    </w:p>
    <w:p>
      <w:pPr>
        <w:spacing w:line="480" w:lineRule="auto"/>
        <w:rPr>
          <w:rFonts w:ascii="宋体" w:hAnsi="宋体"/>
          <w:b/>
          <w:bCs/>
          <w:sz w:val="24"/>
          <w:szCs w:val="30"/>
          <w:u w:val="single"/>
        </w:rPr>
      </w:pPr>
      <w:r>
        <w:rPr>
          <w:rFonts w:hint="eastAsia" w:ascii="宋体" w:hAnsi="宋体"/>
          <w:b/>
          <w:bCs/>
          <w:sz w:val="24"/>
          <w:szCs w:val="30"/>
        </w:rPr>
        <w:t xml:space="preserve">4·  </w:t>
      </w:r>
      <w:r>
        <w:rPr>
          <w:rFonts w:hint="eastAsia" w:ascii="宋体" w:hAnsi="宋体"/>
          <w:b/>
          <w:bCs/>
          <w:sz w:val="24"/>
          <w:szCs w:val="30"/>
          <w:u w:val="single"/>
        </w:rPr>
        <w:t>商谈文件的澄清</w:t>
      </w:r>
    </w:p>
    <w:p>
      <w:pPr>
        <w:tabs>
          <w:tab w:val="left" w:pos="630"/>
          <w:tab w:val="left" w:pos="840"/>
        </w:tabs>
        <w:spacing w:line="300" w:lineRule="auto"/>
        <w:rPr>
          <w:rFonts w:ascii="宋体" w:hAnsi="宋体"/>
          <w:sz w:val="24"/>
          <w:szCs w:val="30"/>
        </w:rPr>
      </w:pPr>
      <w:r>
        <w:rPr>
          <w:rFonts w:hint="eastAsia" w:ascii="宋体" w:hAnsi="宋体"/>
          <w:b/>
          <w:bCs/>
          <w:sz w:val="24"/>
          <w:szCs w:val="30"/>
        </w:rPr>
        <w:t>4．1</w:t>
      </w:r>
      <w:r>
        <w:rPr>
          <w:rFonts w:hint="eastAsia" w:ascii="宋体" w:hAnsi="宋体"/>
          <w:sz w:val="24"/>
          <w:szCs w:val="30"/>
        </w:rPr>
        <w:t xml:space="preserve">  参评方对商谈文件如有疑点要求澄清，或认为有必要与商谈方进行技术交流时，可用书面、传真、电报形式通知商谈方。</w:t>
      </w:r>
    </w:p>
    <w:p>
      <w:pPr>
        <w:tabs>
          <w:tab w:val="left" w:pos="735"/>
        </w:tabs>
        <w:spacing w:line="480" w:lineRule="auto"/>
        <w:rPr>
          <w:rFonts w:ascii="宋体" w:hAnsi="宋体"/>
          <w:b/>
          <w:bCs/>
          <w:sz w:val="24"/>
          <w:szCs w:val="30"/>
          <w:u w:val="single"/>
        </w:rPr>
      </w:pPr>
      <w:r>
        <w:rPr>
          <w:rFonts w:hint="eastAsia" w:ascii="宋体" w:hAnsi="宋体"/>
          <w:b/>
          <w:bCs/>
          <w:sz w:val="24"/>
          <w:szCs w:val="30"/>
        </w:rPr>
        <w:t xml:space="preserve">5· </w:t>
      </w:r>
      <w:r>
        <w:rPr>
          <w:rFonts w:hint="eastAsia" w:ascii="宋体" w:hAnsi="宋体"/>
          <w:sz w:val="24"/>
          <w:szCs w:val="30"/>
        </w:rPr>
        <w:t xml:space="preserve"> </w:t>
      </w:r>
      <w:r>
        <w:rPr>
          <w:rFonts w:hint="eastAsia" w:ascii="宋体" w:hAnsi="宋体"/>
          <w:b/>
          <w:bCs/>
          <w:sz w:val="24"/>
          <w:szCs w:val="30"/>
          <w:u w:val="single"/>
        </w:rPr>
        <w:t>商谈文件的修改</w:t>
      </w:r>
    </w:p>
    <w:p>
      <w:pPr>
        <w:spacing w:line="300" w:lineRule="auto"/>
        <w:ind w:left="723" w:hanging="723" w:hangingChars="300"/>
        <w:rPr>
          <w:rFonts w:ascii="宋体" w:hAnsi="宋体"/>
          <w:sz w:val="24"/>
          <w:szCs w:val="30"/>
        </w:rPr>
      </w:pPr>
      <w:r>
        <w:rPr>
          <w:rFonts w:hint="eastAsia" w:ascii="宋体" w:hAnsi="宋体"/>
          <w:b/>
          <w:bCs/>
          <w:sz w:val="24"/>
          <w:szCs w:val="30"/>
        </w:rPr>
        <w:t>5．1</w:t>
      </w:r>
      <w:r>
        <w:rPr>
          <w:rFonts w:hint="eastAsia" w:ascii="宋体" w:hAnsi="宋体"/>
          <w:sz w:val="24"/>
          <w:szCs w:val="30"/>
        </w:rPr>
        <w:t xml:space="preserve">  在参评截止日期前，商谈方无论出于自己的考虑，还是出于对参评方提问的澄清，均可对商谈文件用补充文件的方式进行修改。</w:t>
      </w:r>
    </w:p>
    <w:p>
      <w:pPr>
        <w:spacing w:line="300" w:lineRule="auto"/>
        <w:ind w:left="723" w:hanging="723" w:hangingChars="300"/>
        <w:rPr>
          <w:rFonts w:ascii="宋体" w:hAnsi="宋体"/>
          <w:b/>
          <w:bCs/>
          <w:sz w:val="24"/>
          <w:szCs w:val="30"/>
        </w:rPr>
      </w:pPr>
      <w:r>
        <w:rPr>
          <w:rFonts w:hint="eastAsia" w:ascii="宋体" w:hAnsi="宋体"/>
          <w:b/>
          <w:bCs/>
          <w:sz w:val="24"/>
          <w:szCs w:val="30"/>
        </w:rPr>
        <w:t xml:space="preserve">5．2  </w:t>
      </w:r>
      <w:r>
        <w:rPr>
          <w:rFonts w:hint="eastAsia" w:ascii="宋体" w:hAnsi="宋体"/>
          <w:sz w:val="24"/>
          <w:szCs w:val="30"/>
        </w:rPr>
        <w:t>对商谈文件的修改、补充，将以书面形式通知己购买商谈文件的每一参评方。补充文件将作为商谈文件的组成部分，对所有参评方有约束力。</w:t>
      </w:r>
    </w:p>
    <w:p>
      <w:pPr>
        <w:spacing w:line="300" w:lineRule="auto"/>
        <w:ind w:left="723" w:hanging="723" w:hangingChars="300"/>
        <w:rPr>
          <w:rFonts w:ascii="宋体" w:hAnsi="宋体"/>
          <w:sz w:val="24"/>
          <w:szCs w:val="30"/>
        </w:rPr>
      </w:pPr>
      <w:r>
        <w:rPr>
          <w:rFonts w:hint="eastAsia" w:ascii="宋体" w:hAnsi="宋体"/>
          <w:b/>
          <w:bCs/>
          <w:sz w:val="24"/>
          <w:szCs w:val="30"/>
        </w:rPr>
        <w:t>5．3</w:t>
      </w:r>
      <w:r>
        <w:rPr>
          <w:rFonts w:hint="eastAsia" w:ascii="宋体" w:hAnsi="宋体"/>
          <w:sz w:val="24"/>
          <w:szCs w:val="30"/>
        </w:rPr>
        <w:t>为使参评方有足够的时间按商谈文件的修改要求考虑修正参评文件，商谈方可酌情推迟参评的截止日期并将此变更通知每一参评方。</w:t>
      </w:r>
    </w:p>
    <w:p>
      <w:pPr>
        <w:tabs>
          <w:tab w:val="left" w:pos="840"/>
        </w:tabs>
        <w:spacing w:line="480" w:lineRule="auto"/>
        <w:jc w:val="center"/>
        <w:rPr>
          <w:rFonts w:ascii="宋体" w:hAnsi="宋体"/>
          <w:b/>
          <w:bCs/>
          <w:sz w:val="30"/>
          <w:szCs w:val="30"/>
        </w:rPr>
      </w:pPr>
      <w:r>
        <w:rPr>
          <w:rFonts w:hint="eastAsia" w:ascii="宋体" w:hAnsi="宋体"/>
          <w:b/>
          <w:bCs/>
          <w:sz w:val="30"/>
          <w:szCs w:val="30"/>
        </w:rPr>
        <w:t>三  参评文件</w:t>
      </w:r>
    </w:p>
    <w:p>
      <w:pPr>
        <w:tabs>
          <w:tab w:val="left" w:pos="840"/>
        </w:tabs>
        <w:spacing w:line="480" w:lineRule="auto"/>
        <w:rPr>
          <w:rFonts w:ascii="宋体" w:hAnsi="宋体"/>
          <w:b/>
          <w:bCs/>
          <w:sz w:val="24"/>
          <w:szCs w:val="30"/>
          <w:u w:val="single"/>
        </w:rPr>
      </w:pPr>
      <w:r>
        <w:rPr>
          <w:rFonts w:hint="eastAsia" w:ascii="宋体" w:hAnsi="宋体"/>
          <w:b/>
          <w:bCs/>
          <w:sz w:val="24"/>
          <w:szCs w:val="30"/>
        </w:rPr>
        <w:t>6·</w:t>
      </w:r>
      <w:r>
        <w:rPr>
          <w:rFonts w:hint="eastAsia" w:ascii="宋体" w:hAnsi="宋体"/>
          <w:sz w:val="24"/>
          <w:szCs w:val="30"/>
        </w:rPr>
        <w:t xml:space="preserve">  </w:t>
      </w:r>
      <w:r>
        <w:rPr>
          <w:rFonts w:hint="eastAsia" w:ascii="宋体" w:hAnsi="宋体"/>
          <w:b/>
          <w:bCs/>
          <w:sz w:val="24"/>
          <w:szCs w:val="30"/>
          <w:u w:val="single"/>
        </w:rPr>
        <w:t>参评文件的组成</w:t>
      </w:r>
    </w:p>
    <w:p>
      <w:pPr>
        <w:contextualSpacing/>
        <w:rPr>
          <w:rFonts w:ascii="宋体" w:hAnsi="宋体"/>
          <w:b/>
          <w:color w:val="000000"/>
          <w:sz w:val="24"/>
          <w:szCs w:val="24"/>
        </w:rPr>
      </w:pPr>
      <w:r>
        <w:rPr>
          <w:rFonts w:hint="eastAsia" w:ascii="宋体" w:hAnsi="宋体"/>
          <w:b/>
          <w:bCs/>
          <w:color w:val="000000"/>
          <w:sz w:val="24"/>
          <w:szCs w:val="24"/>
        </w:rPr>
        <w:t xml:space="preserve">6．1 </w:t>
      </w:r>
      <w:r>
        <w:rPr>
          <w:rFonts w:ascii="宋体" w:hAnsi="宋体"/>
          <w:b/>
          <w:color w:val="000000"/>
          <w:sz w:val="24"/>
          <w:szCs w:val="24"/>
        </w:rPr>
        <w:t xml:space="preserve"> </w:t>
      </w:r>
      <w:r>
        <w:rPr>
          <w:rFonts w:hint="eastAsia" w:ascii="宋体" w:hAnsi="宋体"/>
          <w:b/>
          <w:color w:val="000000"/>
          <w:sz w:val="24"/>
          <w:szCs w:val="24"/>
        </w:rPr>
        <w:t>供应商采购文件（装订成册）</w:t>
      </w:r>
    </w:p>
    <w:tbl>
      <w:tblPr>
        <w:tblStyle w:val="5"/>
        <w:tblW w:w="9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608"/>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815" w:type="dxa"/>
            <w:shd w:val="clear" w:color="auto" w:fill="BFBFBF"/>
            <w:vAlign w:val="center"/>
          </w:tcPr>
          <w:p>
            <w:pPr>
              <w:contextualSpacing/>
              <w:jc w:val="center"/>
              <w:rPr>
                <w:rFonts w:ascii="宋体" w:hAnsi="宋体"/>
                <w:b/>
                <w:sz w:val="20"/>
              </w:rPr>
            </w:pPr>
            <w:r>
              <w:rPr>
                <w:rFonts w:hint="eastAsia" w:ascii="宋体" w:hAnsi="宋体"/>
                <w:b/>
                <w:sz w:val="20"/>
              </w:rPr>
              <w:t>序号</w:t>
            </w:r>
          </w:p>
        </w:tc>
        <w:tc>
          <w:tcPr>
            <w:tcW w:w="2608" w:type="dxa"/>
            <w:shd w:val="clear" w:color="auto" w:fill="BFBFBF"/>
            <w:vAlign w:val="center"/>
          </w:tcPr>
          <w:p>
            <w:pPr>
              <w:contextualSpacing/>
              <w:jc w:val="center"/>
              <w:rPr>
                <w:rFonts w:ascii="宋体" w:hAnsi="宋体"/>
                <w:b/>
                <w:sz w:val="20"/>
              </w:rPr>
            </w:pPr>
            <w:r>
              <w:rPr>
                <w:rFonts w:hint="eastAsia" w:ascii="宋体" w:hAnsi="宋体"/>
                <w:b/>
                <w:sz w:val="20"/>
              </w:rPr>
              <w:t>材料名称</w:t>
            </w:r>
          </w:p>
        </w:tc>
        <w:tc>
          <w:tcPr>
            <w:tcW w:w="6308" w:type="dxa"/>
            <w:shd w:val="clear" w:color="auto" w:fill="BFBFBF"/>
            <w:vAlign w:val="center"/>
          </w:tcPr>
          <w:p>
            <w:pPr>
              <w:contextualSpacing/>
              <w:jc w:val="center"/>
              <w:rPr>
                <w:rFonts w:ascii="宋体" w:hAnsi="宋体"/>
                <w:b/>
                <w:sz w:val="20"/>
              </w:rPr>
            </w:pPr>
            <w:r>
              <w:rPr>
                <w:rFonts w:hint="eastAsia" w:ascii="宋体" w:hAnsi="宋体"/>
                <w:b/>
                <w:sz w:val="20"/>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815" w:type="dxa"/>
            <w:vAlign w:val="center"/>
          </w:tcPr>
          <w:p>
            <w:pPr>
              <w:contextualSpacing/>
              <w:jc w:val="center"/>
              <w:rPr>
                <w:rFonts w:ascii="宋体" w:hAnsi="宋体"/>
                <w:sz w:val="20"/>
              </w:rPr>
            </w:pPr>
            <w:r>
              <w:rPr>
                <w:rFonts w:hint="eastAsia" w:ascii="宋体" w:hAnsi="宋体"/>
                <w:sz w:val="20"/>
              </w:rPr>
              <w:t>1</w:t>
            </w:r>
          </w:p>
        </w:tc>
        <w:tc>
          <w:tcPr>
            <w:tcW w:w="2608" w:type="dxa"/>
            <w:vAlign w:val="center"/>
          </w:tcPr>
          <w:p>
            <w:pPr>
              <w:contextualSpacing/>
              <w:jc w:val="center"/>
              <w:rPr>
                <w:rFonts w:ascii="宋体" w:hAnsi="宋体"/>
                <w:sz w:val="20"/>
              </w:rPr>
            </w:pPr>
            <w:r>
              <w:rPr>
                <w:rFonts w:hint="eastAsia" w:ascii="宋体" w:hAnsi="宋体"/>
                <w:sz w:val="20"/>
              </w:rPr>
              <w:t>封面</w:t>
            </w:r>
          </w:p>
        </w:tc>
        <w:tc>
          <w:tcPr>
            <w:tcW w:w="6308" w:type="dxa"/>
            <w:vAlign w:val="center"/>
          </w:tcPr>
          <w:p>
            <w:pPr>
              <w:contextualSpacing/>
              <w:jc w:val="left"/>
              <w:rPr>
                <w:rFonts w:ascii="宋体" w:hAnsi="宋体"/>
                <w:sz w:val="20"/>
              </w:rPr>
            </w:pPr>
            <w:r>
              <w:rPr>
                <w:rFonts w:hint="eastAsia" w:ascii="宋体" w:hAnsi="宋体"/>
                <w:sz w:val="20"/>
              </w:rPr>
              <w:t>（1）格式详见附表1</w:t>
            </w:r>
          </w:p>
          <w:p>
            <w:pPr>
              <w:contextualSpacing/>
              <w:jc w:val="left"/>
              <w:rPr>
                <w:rFonts w:ascii="宋体" w:hAnsi="宋体"/>
                <w:sz w:val="20"/>
              </w:rPr>
            </w:pPr>
            <w:r>
              <w:rPr>
                <w:rFonts w:hint="eastAsia" w:ascii="宋体" w:hAnsi="宋体"/>
                <w:sz w:val="20"/>
              </w:rPr>
              <w:t>（2）每页加盖参与采购供应商公章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815" w:type="dxa"/>
            <w:vAlign w:val="center"/>
          </w:tcPr>
          <w:p>
            <w:pPr>
              <w:contextualSpacing/>
              <w:jc w:val="center"/>
              <w:rPr>
                <w:rFonts w:ascii="宋体" w:hAnsi="宋体"/>
                <w:sz w:val="20"/>
              </w:rPr>
            </w:pPr>
            <w:r>
              <w:rPr>
                <w:rFonts w:hint="eastAsia" w:ascii="宋体" w:hAnsi="宋体"/>
                <w:sz w:val="20"/>
              </w:rPr>
              <w:t>2</w:t>
            </w:r>
          </w:p>
        </w:tc>
        <w:tc>
          <w:tcPr>
            <w:tcW w:w="2608" w:type="dxa"/>
            <w:vAlign w:val="center"/>
          </w:tcPr>
          <w:p>
            <w:pPr>
              <w:contextualSpacing/>
              <w:jc w:val="center"/>
              <w:rPr>
                <w:rFonts w:ascii="宋体" w:hAnsi="宋体"/>
                <w:sz w:val="20"/>
              </w:rPr>
            </w:pPr>
            <w:r>
              <w:rPr>
                <w:rFonts w:hint="eastAsia" w:ascii="宋体" w:hAnsi="宋体"/>
                <w:sz w:val="20"/>
              </w:rPr>
              <w:t>文件目录</w:t>
            </w:r>
          </w:p>
        </w:tc>
        <w:tc>
          <w:tcPr>
            <w:tcW w:w="6308" w:type="dxa"/>
            <w:vAlign w:val="center"/>
          </w:tcPr>
          <w:p>
            <w:pPr>
              <w:contextualSpacing/>
              <w:jc w:val="left"/>
              <w:rPr>
                <w:rFonts w:ascii="宋体" w:hAnsi="宋体"/>
                <w:sz w:val="20"/>
              </w:rPr>
            </w:pPr>
            <w:r>
              <w:rPr>
                <w:rFonts w:hint="eastAsia" w:ascii="宋体" w:hAnsi="宋体"/>
                <w:sz w:val="20"/>
              </w:rPr>
              <w:t>（1）详细的页码索引</w:t>
            </w:r>
          </w:p>
          <w:p>
            <w:pPr>
              <w:contextualSpacing/>
              <w:jc w:val="left"/>
              <w:rPr>
                <w:rFonts w:ascii="宋体" w:hAnsi="宋体"/>
                <w:sz w:val="20"/>
              </w:rPr>
            </w:pPr>
            <w:r>
              <w:rPr>
                <w:rFonts w:hint="eastAsia" w:ascii="宋体" w:hAnsi="宋体"/>
                <w:sz w:val="20"/>
              </w:rPr>
              <w:t>（2）每页加盖参与采购供应商公章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815" w:type="dxa"/>
            <w:vAlign w:val="center"/>
          </w:tcPr>
          <w:p>
            <w:pPr>
              <w:contextualSpacing/>
              <w:jc w:val="center"/>
              <w:rPr>
                <w:rFonts w:ascii="宋体" w:hAnsi="宋体"/>
                <w:sz w:val="20"/>
              </w:rPr>
            </w:pPr>
            <w:r>
              <w:rPr>
                <w:rFonts w:hint="eastAsia" w:ascii="宋体" w:hAnsi="宋体"/>
                <w:sz w:val="20"/>
              </w:rPr>
              <w:t>3</w:t>
            </w:r>
          </w:p>
        </w:tc>
        <w:tc>
          <w:tcPr>
            <w:tcW w:w="2608" w:type="dxa"/>
            <w:vAlign w:val="center"/>
          </w:tcPr>
          <w:p>
            <w:pPr>
              <w:contextualSpacing/>
              <w:jc w:val="center"/>
              <w:rPr>
                <w:rFonts w:ascii="宋体" w:hAnsi="宋体"/>
                <w:sz w:val="20"/>
              </w:rPr>
            </w:pPr>
            <w:r>
              <w:rPr>
                <w:rFonts w:hint="eastAsia" w:ascii="宋体" w:hAnsi="宋体"/>
                <w:sz w:val="20"/>
              </w:rPr>
              <w:t>参评函</w:t>
            </w:r>
          </w:p>
        </w:tc>
        <w:tc>
          <w:tcPr>
            <w:tcW w:w="6308" w:type="dxa"/>
            <w:vAlign w:val="center"/>
          </w:tcPr>
          <w:p>
            <w:pPr>
              <w:contextualSpacing/>
              <w:jc w:val="left"/>
              <w:rPr>
                <w:rFonts w:ascii="宋体" w:hAnsi="宋体"/>
                <w:sz w:val="20"/>
              </w:rPr>
            </w:pPr>
            <w:r>
              <w:rPr>
                <w:rFonts w:hint="eastAsia" w:ascii="宋体" w:hAnsi="宋体"/>
                <w:sz w:val="20"/>
              </w:rPr>
              <w:t>（1）格式详见附表2</w:t>
            </w:r>
          </w:p>
          <w:p>
            <w:pPr>
              <w:contextualSpacing/>
              <w:jc w:val="left"/>
              <w:rPr>
                <w:rFonts w:ascii="宋体" w:hAnsi="宋体"/>
                <w:sz w:val="20"/>
              </w:rPr>
            </w:pPr>
            <w:r>
              <w:rPr>
                <w:rFonts w:hint="eastAsia" w:ascii="宋体" w:hAnsi="宋体"/>
                <w:sz w:val="20"/>
              </w:rPr>
              <w:t>（2）每页加盖参与采购供应商公章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815" w:type="dxa"/>
            <w:vAlign w:val="center"/>
          </w:tcPr>
          <w:p>
            <w:pPr>
              <w:contextualSpacing/>
              <w:jc w:val="center"/>
              <w:rPr>
                <w:rFonts w:ascii="宋体" w:hAnsi="宋体"/>
                <w:sz w:val="20"/>
              </w:rPr>
            </w:pPr>
            <w:r>
              <w:rPr>
                <w:rFonts w:hint="eastAsia" w:ascii="宋体" w:hAnsi="宋体"/>
                <w:sz w:val="20"/>
              </w:rPr>
              <w:t>4</w:t>
            </w:r>
          </w:p>
        </w:tc>
        <w:tc>
          <w:tcPr>
            <w:tcW w:w="2608" w:type="dxa"/>
            <w:vAlign w:val="center"/>
          </w:tcPr>
          <w:p>
            <w:pPr>
              <w:contextualSpacing/>
              <w:jc w:val="center"/>
              <w:rPr>
                <w:rFonts w:ascii="宋体" w:hAnsi="宋体"/>
                <w:sz w:val="20"/>
              </w:rPr>
            </w:pPr>
            <w:r>
              <w:rPr>
                <w:rFonts w:hint="eastAsia" w:ascii="宋体" w:hAnsi="宋体"/>
                <w:sz w:val="20"/>
              </w:rPr>
              <w:t>供应商营业执照副本复印件</w:t>
            </w:r>
          </w:p>
        </w:tc>
        <w:tc>
          <w:tcPr>
            <w:tcW w:w="6308" w:type="dxa"/>
            <w:vAlign w:val="center"/>
          </w:tcPr>
          <w:p>
            <w:pPr>
              <w:contextualSpacing/>
              <w:jc w:val="left"/>
              <w:rPr>
                <w:rFonts w:ascii="宋体" w:hAnsi="宋体"/>
                <w:sz w:val="20"/>
              </w:rPr>
            </w:pPr>
            <w:r>
              <w:rPr>
                <w:rFonts w:hint="eastAsia" w:ascii="宋体" w:hAnsi="宋体"/>
                <w:sz w:val="20"/>
              </w:rPr>
              <w:t>（1）经营范围必须含所采购品种</w:t>
            </w:r>
          </w:p>
          <w:p>
            <w:pPr>
              <w:contextualSpacing/>
              <w:jc w:val="left"/>
              <w:rPr>
                <w:rFonts w:ascii="宋体" w:hAnsi="宋体"/>
                <w:sz w:val="20"/>
              </w:rPr>
            </w:pPr>
            <w:r>
              <w:rPr>
                <w:rFonts w:hint="eastAsia" w:ascii="宋体" w:hAnsi="宋体"/>
                <w:sz w:val="20"/>
              </w:rPr>
              <w:t>（2）若有更名，务必提供相关证明材料</w:t>
            </w:r>
          </w:p>
          <w:p>
            <w:pPr>
              <w:contextualSpacing/>
              <w:jc w:val="left"/>
              <w:rPr>
                <w:rFonts w:ascii="宋体" w:hAnsi="宋体"/>
                <w:sz w:val="20"/>
              </w:rPr>
            </w:pPr>
            <w:r>
              <w:rPr>
                <w:rFonts w:hint="eastAsia" w:ascii="宋体" w:hAnsi="宋体"/>
                <w:sz w:val="20"/>
              </w:rPr>
              <w:t>（3）每页加盖参与采购供应商公章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815" w:type="dxa"/>
            <w:vAlign w:val="center"/>
          </w:tcPr>
          <w:p>
            <w:pPr>
              <w:contextualSpacing/>
              <w:jc w:val="center"/>
              <w:rPr>
                <w:rFonts w:ascii="宋体" w:hAnsi="宋体"/>
                <w:sz w:val="20"/>
              </w:rPr>
            </w:pPr>
            <w:r>
              <w:rPr>
                <w:rFonts w:hint="eastAsia" w:ascii="宋体" w:hAnsi="宋体"/>
                <w:sz w:val="20"/>
              </w:rPr>
              <w:t>5</w:t>
            </w:r>
          </w:p>
        </w:tc>
        <w:tc>
          <w:tcPr>
            <w:tcW w:w="2608" w:type="dxa"/>
            <w:vAlign w:val="center"/>
          </w:tcPr>
          <w:p>
            <w:pPr>
              <w:contextualSpacing/>
              <w:jc w:val="center"/>
              <w:rPr>
                <w:rFonts w:ascii="宋体" w:hAnsi="宋体"/>
                <w:sz w:val="20"/>
              </w:rPr>
            </w:pPr>
            <w:r>
              <w:rPr>
                <w:rFonts w:hint="eastAsia" w:ascii="宋体" w:hAnsi="宋体"/>
                <w:sz w:val="20"/>
              </w:rPr>
              <w:t>供应商医疗器械生产（经营）许可证副本复印件</w:t>
            </w:r>
          </w:p>
        </w:tc>
        <w:tc>
          <w:tcPr>
            <w:tcW w:w="6308" w:type="dxa"/>
            <w:vAlign w:val="center"/>
          </w:tcPr>
          <w:p>
            <w:pPr>
              <w:tabs>
                <w:tab w:val="left" w:pos="459"/>
                <w:tab w:val="left" w:pos="601"/>
              </w:tabs>
              <w:contextualSpacing/>
              <w:jc w:val="left"/>
              <w:rPr>
                <w:rFonts w:ascii="宋体" w:hAnsi="宋体"/>
                <w:sz w:val="20"/>
              </w:rPr>
            </w:pPr>
            <w:r>
              <w:rPr>
                <w:rFonts w:hint="eastAsia" w:ascii="宋体" w:hAnsi="宋体"/>
                <w:sz w:val="20"/>
              </w:rPr>
              <w:t>（1）若在换证期间，需要提供旧的两证和药监部门出具的换证证明</w:t>
            </w:r>
          </w:p>
          <w:p>
            <w:pPr>
              <w:contextualSpacing/>
              <w:jc w:val="left"/>
              <w:rPr>
                <w:rFonts w:ascii="宋体" w:hAnsi="宋体"/>
                <w:sz w:val="20"/>
              </w:rPr>
            </w:pPr>
            <w:r>
              <w:rPr>
                <w:rFonts w:hint="eastAsia" w:ascii="宋体" w:hAnsi="宋体"/>
                <w:sz w:val="20"/>
              </w:rPr>
              <w:t>（2）每页加盖参与采购供应商公章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15" w:type="dxa"/>
            <w:vAlign w:val="center"/>
          </w:tcPr>
          <w:p>
            <w:pPr>
              <w:contextualSpacing/>
              <w:jc w:val="center"/>
              <w:rPr>
                <w:rFonts w:ascii="宋体" w:hAnsi="宋体"/>
                <w:sz w:val="20"/>
              </w:rPr>
            </w:pPr>
            <w:r>
              <w:rPr>
                <w:rFonts w:hint="eastAsia" w:ascii="宋体" w:hAnsi="宋体"/>
                <w:sz w:val="20"/>
              </w:rPr>
              <w:t>6</w:t>
            </w:r>
          </w:p>
        </w:tc>
        <w:tc>
          <w:tcPr>
            <w:tcW w:w="2608" w:type="dxa"/>
            <w:vAlign w:val="center"/>
          </w:tcPr>
          <w:p>
            <w:pPr>
              <w:contextualSpacing/>
              <w:jc w:val="center"/>
              <w:rPr>
                <w:rFonts w:ascii="宋体" w:hAnsi="宋体"/>
                <w:sz w:val="20"/>
              </w:rPr>
            </w:pPr>
            <w:r>
              <w:rPr>
                <w:rFonts w:hint="eastAsia" w:ascii="宋体" w:hAnsi="宋体"/>
                <w:sz w:val="20"/>
              </w:rPr>
              <w:t>产品</w:t>
            </w:r>
            <w:r>
              <w:rPr>
                <w:rFonts w:ascii="宋体" w:hAnsi="宋体"/>
                <w:sz w:val="20"/>
              </w:rPr>
              <w:t>说明书及彩页</w:t>
            </w:r>
          </w:p>
        </w:tc>
        <w:tc>
          <w:tcPr>
            <w:tcW w:w="6308" w:type="dxa"/>
            <w:vAlign w:val="center"/>
          </w:tcPr>
          <w:p>
            <w:pPr>
              <w:tabs>
                <w:tab w:val="left" w:pos="459"/>
                <w:tab w:val="left" w:pos="601"/>
              </w:tabs>
              <w:contextualSpacing/>
              <w:jc w:val="left"/>
              <w:rPr>
                <w:rFonts w:ascii="宋体" w:hAnsi="宋体"/>
                <w:sz w:val="20"/>
              </w:rPr>
            </w:pPr>
            <w:r>
              <w:rPr>
                <w:rFonts w:hint="eastAsia" w:ascii="宋体" w:hAnsi="宋体"/>
                <w:sz w:val="20"/>
              </w:rPr>
              <w:t>（</w:t>
            </w:r>
            <w:r>
              <w:rPr>
                <w:rFonts w:ascii="宋体" w:hAnsi="宋体"/>
                <w:sz w:val="20"/>
              </w:rPr>
              <w:t>1</w:t>
            </w:r>
            <w:r>
              <w:rPr>
                <w:rFonts w:hint="eastAsia" w:ascii="宋体" w:hAnsi="宋体"/>
                <w:sz w:val="20"/>
              </w:rPr>
              <w:t>）每页加盖参与采购供应商公章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15" w:type="dxa"/>
            <w:vAlign w:val="center"/>
          </w:tcPr>
          <w:p>
            <w:pPr>
              <w:contextualSpacing/>
              <w:jc w:val="center"/>
              <w:rPr>
                <w:rFonts w:ascii="宋体" w:hAnsi="宋体"/>
                <w:sz w:val="20"/>
              </w:rPr>
            </w:pPr>
            <w:r>
              <w:rPr>
                <w:rFonts w:hint="eastAsia" w:ascii="宋体" w:hAnsi="宋体"/>
                <w:sz w:val="20"/>
              </w:rPr>
              <w:t>7</w:t>
            </w:r>
          </w:p>
        </w:tc>
        <w:tc>
          <w:tcPr>
            <w:tcW w:w="2608" w:type="dxa"/>
            <w:vAlign w:val="center"/>
          </w:tcPr>
          <w:p>
            <w:pPr>
              <w:contextualSpacing/>
              <w:jc w:val="center"/>
              <w:rPr>
                <w:rFonts w:ascii="宋体" w:hAnsi="宋体"/>
                <w:sz w:val="20"/>
              </w:rPr>
            </w:pPr>
            <w:r>
              <w:rPr>
                <w:rFonts w:hint="eastAsia" w:ascii="宋体" w:hAnsi="宋体"/>
                <w:sz w:val="20"/>
              </w:rPr>
              <w:t>售后服务（计划）</w:t>
            </w:r>
          </w:p>
        </w:tc>
        <w:tc>
          <w:tcPr>
            <w:tcW w:w="6308" w:type="dxa"/>
            <w:vAlign w:val="center"/>
          </w:tcPr>
          <w:p>
            <w:pPr>
              <w:tabs>
                <w:tab w:val="left" w:pos="459"/>
                <w:tab w:val="left" w:pos="601"/>
              </w:tabs>
              <w:contextualSpacing/>
              <w:jc w:val="left"/>
              <w:rPr>
                <w:rFonts w:ascii="宋体" w:hAnsi="宋体" w:cs="宋体"/>
                <w:kern w:val="0"/>
                <w:sz w:val="20"/>
              </w:rPr>
            </w:pPr>
            <w:r>
              <w:rPr>
                <w:rFonts w:hint="eastAsia" w:ascii="宋体" w:hAnsi="宋体" w:cs="宋体"/>
                <w:kern w:val="0"/>
                <w:sz w:val="20"/>
              </w:rPr>
              <w:t>（1）</w:t>
            </w:r>
            <w:r>
              <w:rPr>
                <w:rFonts w:hint="eastAsia" w:ascii="宋体" w:hAnsi="宋体"/>
                <w:sz w:val="20"/>
              </w:rPr>
              <w:t>提供开展此项目必要的技术支持相应</w:t>
            </w:r>
            <w:r>
              <w:rPr>
                <w:rFonts w:ascii="宋体" w:hAnsi="宋体"/>
                <w:sz w:val="20"/>
              </w:rPr>
              <w:t>的</w:t>
            </w:r>
            <w:r>
              <w:rPr>
                <w:rFonts w:hint="eastAsia" w:ascii="宋体" w:hAnsi="宋体"/>
                <w:sz w:val="20"/>
              </w:rPr>
              <w:t>服务</w:t>
            </w:r>
            <w:r>
              <w:rPr>
                <w:rFonts w:ascii="宋体" w:hAnsi="宋体"/>
                <w:sz w:val="20"/>
              </w:rPr>
              <w:t>（</w:t>
            </w:r>
            <w:r>
              <w:rPr>
                <w:rFonts w:hint="eastAsia" w:ascii="宋体" w:hAnsi="宋体"/>
                <w:sz w:val="20"/>
              </w:rPr>
              <w:t>计划</w:t>
            </w:r>
            <w:r>
              <w:rPr>
                <w:rFonts w:ascii="宋体" w:hAnsi="宋体"/>
                <w:sz w:val="20"/>
              </w:rPr>
              <w:t>）</w:t>
            </w:r>
          </w:p>
          <w:p>
            <w:pPr>
              <w:tabs>
                <w:tab w:val="left" w:pos="459"/>
                <w:tab w:val="left" w:pos="601"/>
              </w:tabs>
              <w:contextualSpacing/>
              <w:jc w:val="left"/>
              <w:rPr>
                <w:rFonts w:ascii="宋体" w:hAnsi="宋体" w:cs="宋体"/>
                <w:kern w:val="0"/>
                <w:sz w:val="20"/>
              </w:rPr>
            </w:pPr>
            <w:r>
              <w:rPr>
                <w:rFonts w:hint="eastAsia" w:ascii="宋体" w:hAnsi="宋体"/>
                <w:sz w:val="20"/>
              </w:rPr>
              <w:t>（2）</w:t>
            </w:r>
            <w:r>
              <w:rPr>
                <w:rFonts w:hint="eastAsia" w:ascii="宋体" w:hAnsi="宋体" w:cs="宋体"/>
                <w:kern w:val="0"/>
                <w:sz w:val="20"/>
              </w:rPr>
              <w:t>格式自拟</w:t>
            </w:r>
            <w:r>
              <w:rPr>
                <w:rFonts w:ascii="宋体" w:hAnsi="宋体" w:cs="宋体"/>
                <w:kern w:val="0"/>
                <w:sz w:val="20"/>
              </w:rPr>
              <w:t>，每页加盖</w:t>
            </w:r>
            <w:r>
              <w:rPr>
                <w:rFonts w:hint="eastAsia" w:ascii="宋体" w:hAnsi="宋体" w:cs="宋体"/>
                <w:kern w:val="0"/>
                <w:sz w:val="20"/>
              </w:rPr>
              <w:t>参与采购</w:t>
            </w:r>
            <w:r>
              <w:rPr>
                <w:rFonts w:ascii="宋体" w:hAnsi="宋体" w:cs="宋体"/>
                <w:kern w:val="0"/>
                <w:sz w:val="20"/>
              </w:rPr>
              <w:t>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1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sz w:val="20"/>
              </w:rPr>
            </w:pPr>
            <w:r>
              <w:rPr>
                <w:rFonts w:hint="eastAsia" w:ascii="宋体" w:hAnsi="宋体"/>
                <w:sz w:val="20"/>
              </w:rPr>
              <w:t>8</w:t>
            </w:r>
          </w:p>
        </w:tc>
        <w:tc>
          <w:tcPr>
            <w:tcW w:w="260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sz w:val="20"/>
              </w:rPr>
            </w:pPr>
            <w:r>
              <w:rPr>
                <w:rFonts w:hint="eastAsia" w:ascii="宋体" w:hAnsi="宋体"/>
                <w:sz w:val="20"/>
              </w:rPr>
              <w:t>采购报价表</w:t>
            </w:r>
          </w:p>
        </w:tc>
        <w:tc>
          <w:tcPr>
            <w:tcW w:w="6308" w:type="dxa"/>
            <w:tcBorders>
              <w:top w:val="single" w:color="auto" w:sz="4" w:space="0"/>
              <w:left w:val="single" w:color="auto" w:sz="4" w:space="0"/>
              <w:bottom w:val="single" w:color="auto" w:sz="4" w:space="0"/>
              <w:right w:val="single" w:color="auto" w:sz="4" w:space="0"/>
            </w:tcBorders>
            <w:vAlign w:val="center"/>
          </w:tcPr>
          <w:p>
            <w:pPr>
              <w:tabs>
                <w:tab w:val="left" w:pos="459"/>
                <w:tab w:val="left" w:pos="601"/>
              </w:tabs>
              <w:contextualSpacing/>
              <w:jc w:val="left"/>
              <w:rPr>
                <w:rFonts w:ascii="宋体" w:hAnsi="宋体"/>
                <w:sz w:val="20"/>
              </w:rPr>
            </w:pPr>
            <w:r>
              <w:rPr>
                <w:rFonts w:hint="eastAsia" w:ascii="宋体" w:hAnsi="宋体"/>
                <w:sz w:val="20"/>
              </w:rPr>
              <w:t>（1）格式详见附表3</w:t>
            </w:r>
          </w:p>
          <w:p>
            <w:pPr>
              <w:tabs>
                <w:tab w:val="left" w:pos="459"/>
                <w:tab w:val="left" w:pos="601"/>
              </w:tabs>
              <w:contextualSpacing/>
              <w:jc w:val="left"/>
              <w:rPr>
                <w:rFonts w:ascii="宋体" w:hAnsi="宋体"/>
                <w:sz w:val="20"/>
              </w:rPr>
            </w:pPr>
            <w:r>
              <w:rPr>
                <w:rFonts w:hint="eastAsia" w:ascii="宋体" w:hAnsi="宋体"/>
                <w:sz w:val="20"/>
              </w:rPr>
              <w:t>（2）每页加盖参与采购供应商公章</w:t>
            </w:r>
          </w:p>
          <w:p>
            <w:pPr>
              <w:tabs>
                <w:tab w:val="left" w:pos="459"/>
                <w:tab w:val="left" w:pos="601"/>
              </w:tabs>
              <w:contextualSpacing/>
              <w:jc w:val="left"/>
              <w:rPr>
                <w:rFonts w:ascii="宋体" w:hAnsi="宋体"/>
                <w:sz w:val="20"/>
              </w:rPr>
            </w:pPr>
            <w:r>
              <w:rPr>
                <w:rFonts w:hint="eastAsia" w:ascii="宋体" w:hAnsi="宋体"/>
                <w:sz w:val="20"/>
              </w:rPr>
              <w:t>（3）放入对应目录的密封文件袋</w:t>
            </w:r>
          </w:p>
          <w:p>
            <w:pPr>
              <w:tabs>
                <w:tab w:val="left" w:pos="459"/>
                <w:tab w:val="left" w:pos="601"/>
              </w:tabs>
              <w:contextualSpacing/>
              <w:jc w:val="left"/>
              <w:rPr>
                <w:rFonts w:ascii="宋体" w:hAnsi="宋体"/>
                <w:sz w:val="20"/>
              </w:rPr>
            </w:pPr>
            <w:r>
              <w:rPr>
                <w:rFonts w:hint="eastAsia" w:ascii="宋体" w:hAnsi="宋体"/>
                <w:sz w:val="20"/>
              </w:rPr>
              <w:t>（4）密封处加盖参与采购供应商骑缝章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731" w:type="dxa"/>
            <w:gridSpan w:val="3"/>
            <w:tcBorders>
              <w:top w:val="single" w:color="auto" w:sz="4" w:space="0"/>
              <w:left w:val="single" w:color="auto" w:sz="4" w:space="0"/>
              <w:bottom w:val="single" w:color="auto" w:sz="4" w:space="0"/>
              <w:right w:val="single" w:color="auto" w:sz="4" w:space="0"/>
            </w:tcBorders>
            <w:vAlign w:val="center"/>
          </w:tcPr>
          <w:p>
            <w:pPr>
              <w:tabs>
                <w:tab w:val="left" w:pos="459"/>
                <w:tab w:val="left" w:pos="601"/>
              </w:tabs>
              <w:topLinePunct/>
              <w:contextualSpacing/>
              <w:jc w:val="left"/>
              <w:rPr>
                <w:rFonts w:ascii="宋体" w:hAnsi="宋体"/>
                <w:b/>
                <w:color w:val="FF0000"/>
                <w:sz w:val="20"/>
              </w:rPr>
            </w:pPr>
            <w:r>
              <w:rPr>
                <w:rFonts w:hint="eastAsia" w:ascii="宋体" w:hAnsi="宋体"/>
                <w:b/>
                <w:color w:val="FF0000"/>
                <w:sz w:val="20"/>
              </w:rPr>
              <w:t>注：所有目录均参照以上标准装订资料成册。以每个目录为单位独立装订成册，一份正本、五份副本。</w:t>
            </w:r>
          </w:p>
        </w:tc>
      </w:tr>
    </w:tbl>
    <w:p>
      <w:pPr>
        <w:tabs>
          <w:tab w:val="left" w:pos="1398"/>
        </w:tabs>
        <w:spacing w:before="156" w:beforeLines="50" w:after="156" w:afterLines="50"/>
        <w:rPr>
          <w:rFonts w:ascii="宋体" w:hAnsi="宋体"/>
          <w:b/>
          <w:bCs/>
          <w:sz w:val="24"/>
          <w:szCs w:val="30"/>
        </w:rPr>
      </w:pPr>
    </w:p>
    <w:p>
      <w:pPr>
        <w:tabs>
          <w:tab w:val="left" w:pos="1398"/>
        </w:tabs>
        <w:spacing w:before="156" w:beforeLines="50" w:after="156" w:afterLines="50"/>
        <w:rPr>
          <w:rFonts w:ascii="宋体" w:hAnsi="宋体"/>
          <w:b/>
          <w:color w:val="000000"/>
          <w:sz w:val="24"/>
          <w:szCs w:val="24"/>
        </w:rPr>
      </w:pPr>
      <w:r>
        <w:rPr>
          <w:rFonts w:hint="eastAsia" w:ascii="宋体" w:hAnsi="宋体"/>
          <w:b/>
          <w:bCs/>
          <w:sz w:val="24"/>
          <w:szCs w:val="30"/>
        </w:rPr>
        <w:t>6．2</w:t>
      </w:r>
      <w:r>
        <w:rPr>
          <w:rFonts w:hint="eastAsia" w:ascii="宋体" w:hAnsi="宋体"/>
          <w:sz w:val="24"/>
          <w:szCs w:val="30"/>
        </w:rPr>
        <w:t xml:space="preserve"> </w:t>
      </w:r>
      <w:r>
        <w:rPr>
          <w:rFonts w:hint="eastAsia" w:ascii="宋体" w:hAnsi="宋体"/>
          <w:b/>
          <w:color w:val="000000"/>
          <w:sz w:val="24"/>
          <w:szCs w:val="24"/>
        </w:rPr>
        <w:t>采购文件编制说明</w:t>
      </w:r>
    </w:p>
    <w:p>
      <w:pPr>
        <w:spacing w:line="360" w:lineRule="auto"/>
        <w:contextualSpacing/>
        <w:rPr>
          <w:rFonts w:ascii="宋体" w:hAnsi="宋体"/>
          <w:sz w:val="24"/>
          <w:szCs w:val="24"/>
        </w:rPr>
      </w:pPr>
      <w:r>
        <w:rPr>
          <w:rFonts w:hint="eastAsia" w:ascii="宋体" w:hAnsi="宋体"/>
          <w:sz w:val="24"/>
          <w:szCs w:val="24"/>
        </w:rPr>
        <w:t>（1）、所有附表均可打印（复印）填写，文字内容与格式不得随意更改，相应后果由参与采购供应商自行承担。</w:t>
      </w:r>
    </w:p>
    <w:p>
      <w:pPr>
        <w:spacing w:line="360" w:lineRule="auto"/>
        <w:contextualSpacing/>
        <w:rPr>
          <w:rFonts w:ascii="宋体" w:hAnsi="宋体"/>
          <w:b/>
          <w:color w:val="FF0000"/>
          <w:sz w:val="24"/>
          <w:szCs w:val="24"/>
        </w:rPr>
      </w:pPr>
      <w:r>
        <w:rPr>
          <w:rFonts w:hint="eastAsia" w:ascii="宋体" w:hAnsi="宋体"/>
          <w:sz w:val="24"/>
          <w:szCs w:val="24"/>
        </w:rPr>
        <w:t>（2）、采购文件统一使用A4纸制作（生产许可证等复印件除外），按照参与采购供应商资质文件、技术文件的顺序和要求装订成册，标注每册每页页码，并加盖企业公章。</w:t>
      </w:r>
    </w:p>
    <w:p>
      <w:pPr>
        <w:spacing w:line="360" w:lineRule="auto"/>
        <w:contextualSpacing/>
        <w:rPr>
          <w:rFonts w:ascii="宋体" w:hAnsi="宋体"/>
          <w:sz w:val="24"/>
          <w:szCs w:val="24"/>
        </w:rPr>
      </w:pPr>
      <w:r>
        <w:rPr>
          <w:rFonts w:hint="eastAsia" w:ascii="宋体" w:hAnsi="宋体"/>
          <w:sz w:val="24"/>
          <w:szCs w:val="24"/>
        </w:rPr>
        <w:t>（3）、参与采购供应商所提供的资质证书文件、参评函、报价表等每页均应加盖参与采购供应商公章。</w:t>
      </w:r>
    </w:p>
    <w:p>
      <w:pPr>
        <w:spacing w:line="480" w:lineRule="auto"/>
        <w:rPr>
          <w:rFonts w:ascii="宋体" w:hAnsi="宋体"/>
          <w:sz w:val="24"/>
          <w:szCs w:val="30"/>
        </w:rPr>
      </w:pPr>
      <w:r>
        <w:rPr>
          <w:rFonts w:hint="eastAsia" w:ascii="宋体" w:hAnsi="宋体"/>
          <w:b/>
          <w:bCs/>
          <w:sz w:val="24"/>
          <w:szCs w:val="30"/>
        </w:rPr>
        <w:t>7·</w:t>
      </w:r>
      <w:r>
        <w:rPr>
          <w:rFonts w:hint="eastAsia" w:ascii="宋体" w:hAnsi="宋体"/>
          <w:sz w:val="24"/>
          <w:szCs w:val="30"/>
        </w:rPr>
        <w:t xml:space="preserve">  </w:t>
      </w:r>
      <w:r>
        <w:rPr>
          <w:rFonts w:hint="eastAsia" w:ascii="宋体" w:hAnsi="宋体"/>
          <w:b/>
          <w:bCs/>
          <w:sz w:val="24"/>
          <w:szCs w:val="30"/>
          <w:u w:val="single"/>
        </w:rPr>
        <w:t>证明参评方合格和资格的文件</w:t>
      </w:r>
    </w:p>
    <w:p>
      <w:pPr>
        <w:spacing w:line="300" w:lineRule="auto"/>
        <w:rPr>
          <w:rFonts w:ascii="宋体" w:hAnsi="宋体"/>
          <w:sz w:val="24"/>
          <w:szCs w:val="30"/>
        </w:rPr>
      </w:pPr>
      <w:r>
        <w:rPr>
          <w:rFonts w:hint="eastAsia" w:ascii="宋体" w:hAnsi="宋体"/>
          <w:b/>
          <w:bCs/>
          <w:sz w:val="24"/>
          <w:szCs w:val="30"/>
        </w:rPr>
        <w:t>7．1</w:t>
      </w:r>
      <w:r>
        <w:rPr>
          <w:rFonts w:hint="eastAsia" w:ascii="宋体" w:hAnsi="宋体"/>
          <w:sz w:val="24"/>
          <w:szCs w:val="30"/>
        </w:rPr>
        <w:t>参评方提供的资格证明文件应使商谈方满意：参评方必须具备履行合同所需的财务、技术、生产能力和经验。</w:t>
      </w:r>
    </w:p>
    <w:p>
      <w:pPr>
        <w:spacing w:line="480" w:lineRule="auto"/>
        <w:rPr>
          <w:rFonts w:ascii="宋体" w:hAnsi="宋体"/>
          <w:b/>
          <w:bCs/>
          <w:sz w:val="24"/>
          <w:szCs w:val="30"/>
          <w:u w:val="single"/>
        </w:rPr>
      </w:pPr>
      <w:r>
        <w:rPr>
          <w:rFonts w:hint="eastAsia" w:ascii="宋体" w:hAnsi="宋体"/>
          <w:b/>
          <w:bCs/>
          <w:sz w:val="24"/>
          <w:szCs w:val="30"/>
        </w:rPr>
        <w:t>8·</w:t>
      </w:r>
      <w:r>
        <w:rPr>
          <w:rFonts w:hint="eastAsia" w:ascii="宋体" w:hAnsi="宋体"/>
          <w:sz w:val="24"/>
          <w:szCs w:val="30"/>
        </w:rPr>
        <w:t xml:space="preserve">  </w:t>
      </w:r>
      <w:r>
        <w:rPr>
          <w:rFonts w:hint="eastAsia" w:ascii="宋体" w:hAnsi="宋体"/>
          <w:b/>
          <w:bCs/>
          <w:sz w:val="24"/>
          <w:szCs w:val="30"/>
          <w:u w:val="single"/>
        </w:rPr>
        <w:t>参评报价</w:t>
      </w:r>
    </w:p>
    <w:p>
      <w:pPr>
        <w:spacing w:line="300" w:lineRule="auto"/>
        <w:ind w:left="723" w:hanging="723" w:hangingChars="300"/>
        <w:rPr>
          <w:rFonts w:ascii="宋体" w:hAnsi="宋体"/>
          <w:sz w:val="24"/>
          <w:szCs w:val="30"/>
        </w:rPr>
      </w:pPr>
      <w:r>
        <w:rPr>
          <w:rFonts w:hint="eastAsia" w:ascii="宋体" w:hAnsi="宋体"/>
          <w:b/>
          <w:bCs/>
          <w:sz w:val="24"/>
          <w:szCs w:val="30"/>
        </w:rPr>
        <w:t xml:space="preserve">8．1 </w:t>
      </w:r>
      <w:r>
        <w:rPr>
          <w:rFonts w:hint="eastAsia" w:ascii="宋体" w:hAnsi="宋体"/>
          <w:sz w:val="24"/>
          <w:szCs w:val="30"/>
        </w:rPr>
        <w:t>所有参评均以人民币报价。参评方如需外汇购入某些参评货物，须折合人民币计入总报价中。</w:t>
      </w:r>
    </w:p>
    <w:p>
      <w:pPr>
        <w:spacing w:line="300" w:lineRule="auto"/>
        <w:ind w:left="723" w:hanging="723" w:hangingChars="300"/>
        <w:rPr>
          <w:rFonts w:ascii="宋体" w:hAnsi="宋体"/>
          <w:sz w:val="24"/>
          <w:szCs w:val="30"/>
        </w:rPr>
      </w:pPr>
      <w:r>
        <w:rPr>
          <w:rFonts w:hint="eastAsia" w:ascii="宋体" w:hAnsi="宋体"/>
          <w:b/>
          <w:bCs/>
          <w:sz w:val="24"/>
          <w:szCs w:val="30"/>
        </w:rPr>
        <w:t xml:space="preserve">8．2 </w:t>
      </w:r>
      <w:r>
        <w:rPr>
          <w:rFonts w:hint="eastAsia" w:ascii="宋体" w:hAnsi="宋体"/>
          <w:sz w:val="24"/>
          <w:szCs w:val="24"/>
        </w:rPr>
        <w:t>参评报价与质量准入综合评定；</w:t>
      </w:r>
    </w:p>
    <w:p>
      <w:pPr>
        <w:spacing w:line="300" w:lineRule="auto"/>
        <w:rPr>
          <w:rFonts w:ascii="宋体" w:hAnsi="宋体"/>
          <w:sz w:val="24"/>
          <w:szCs w:val="30"/>
        </w:rPr>
      </w:pPr>
    </w:p>
    <w:p>
      <w:pPr>
        <w:tabs>
          <w:tab w:val="left" w:pos="840"/>
        </w:tabs>
        <w:spacing w:line="480" w:lineRule="auto"/>
        <w:rPr>
          <w:rFonts w:ascii="宋体" w:hAnsi="宋体"/>
          <w:b/>
          <w:bCs/>
          <w:sz w:val="24"/>
          <w:szCs w:val="30"/>
          <w:u w:val="single"/>
        </w:rPr>
      </w:pPr>
      <w:r>
        <w:rPr>
          <w:rFonts w:hint="eastAsia" w:ascii="宋体" w:hAnsi="宋体"/>
          <w:b/>
          <w:bCs/>
          <w:sz w:val="24"/>
          <w:szCs w:val="30"/>
        </w:rPr>
        <w:t xml:space="preserve">9·  </w:t>
      </w:r>
      <w:r>
        <w:rPr>
          <w:rFonts w:hint="eastAsia" w:ascii="宋体" w:hAnsi="宋体"/>
          <w:b/>
          <w:bCs/>
          <w:sz w:val="24"/>
          <w:szCs w:val="30"/>
          <w:u w:val="single"/>
        </w:rPr>
        <w:t>参评文件的有效期</w:t>
      </w:r>
    </w:p>
    <w:p>
      <w:pPr>
        <w:spacing w:line="300" w:lineRule="auto"/>
        <w:ind w:left="723" w:hanging="723" w:hangingChars="300"/>
        <w:rPr>
          <w:rFonts w:ascii="宋体" w:hAnsi="宋体"/>
          <w:sz w:val="24"/>
          <w:szCs w:val="30"/>
        </w:rPr>
      </w:pPr>
      <w:r>
        <w:rPr>
          <w:rFonts w:hint="eastAsia" w:ascii="宋体" w:hAnsi="宋体"/>
          <w:b/>
          <w:bCs/>
          <w:color w:val="000000"/>
          <w:sz w:val="24"/>
          <w:szCs w:val="30"/>
        </w:rPr>
        <w:t>9．1</w:t>
      </w:r>
      <w:r>
        <w:rPr>
          <w:rFonts w:hint="eastAsia" w:ascii="宋体" w:hAnsi="宋体"/>
          <w:color w:val="000000"/>
          <w:sz w:val="24"/>
          <w:szCs w:val="30"/>
        </w:rPr>
        <w:t>参评截止日期后</w:t>
      </w:r>
      <w:r>
        <w:rPr>
          <w:rFonts w:hint="eastAsia" w:ascii="宋体" w:hAnsi="宋体"/>
          <w:color w:val="000000"/>
          <w:sz w:val="24"/>
          <w:szCs w:val="30"/>
          <w:u w:val="single"/>
        </w:rPr>
        <w:t xml:space="preserve">   </w:t>
      </w:r>
      <w:r>
        <w:rPr>
          <w:rFonts w:hint="eastAsia" w:ascii="宋体" w:hAnsi="宋体"/>
          <w:color w:val="000000"/>
          <w:sz w:val="24"/>
          <w:szCs w:val="30"/>
        </w:rPr>
        <w:t>天内，参评文件应保持有效。有效期短于这个规定期</w:t>
      </w:r>
      <w:r>
        <w:rPr>
          <w:rFonts w:hint="eastAsia" w:ascii="宋体" w:hAnsi="宋体"/>
          <w:sz w:val="24"/>
          <w:szCs w:val="30"/>
        </w:rPr>
        <w:t>限的参评，将被拒绝。</w:t>
      </w:r>
    </w:p>
    <w:p>
      <w:pPr>
        <w:spacing w:line="300" w:lineRule="auto"/>
        <w:ind w:left="723" w:hanging="723" w:hangingChars="300"/>
        <w:rPr>
          <w:rFonts w:ascii="宋体" w:hAnsi="宋体"/>
          <w:sz w:val="24"/>
          <w:szCs w:val="30"/>
        </w:rPr>
      </w:pPr>
      <w:r>
        <w:rPr>
          <w:rFonts w:hint="eastAsia" w:ascii="宋体" w:hAnsi="宋体"/>
          <w:b/>
          <w:bCs/>
          <w:sz w:val="24"/>
          <w:szCs w:val="30"/>
        </w:rPr>
        <w:t>9．2</w:t>
      </w:r>
      <w:r>
        <w:rPr>
          <w:rFonts w:hint="eastAsia" w:ascii="宋体" w:hAnsi="宋体"/>
          <w:sz w:val="24"/>
          <w:szCs w:val="30"/>
        </w:rPr>
        <w:t>在特殊情况下，商谈方可与参评方协商延长参评文件的有效期。这种要求和答复都应以书面、传真、电报的形式进行。</w:t>
      </w:r>
    </w:p>
    <w:p>
      <w:pPr>
        <w:spacing w:line="480" w:lineRule="auto"/>
        <w:ind w:left="482" w:hanging="482" w:hangingChars="200"/>
        <w:rPr>
          <w:rFonts w:ascii="宋体" w:hAnsi="宋体"/>
          <w:b/>
          <w:bCs/>
          <w:sz w:val="24"/>
          <w:szCs w:val="30"/>
          <w:u w:val="single"/>
        </w:rPr>
      </w:pPr>
      <w:r>
        <w:rPr>
          <w:rFonts w:hint="eastAsia" w:ascii="宋体" w:hAnsi="宋体"/>
          <w:b/>
          <w:bCs/>
          <w:sz w:val="24"/>
          <w:szCs w:val="30"/>
        </w:rPr>
        <w:t xml:space="preserve">10· </w:t>
      </w:r>
      <w:r>
        <w:rPr>
          <w:rFonts w:hint="eastAsia" w:ascii="宋体" w:hAnsi="宋体"/>
          <w:sz w:val="24"/>
          <w:szCs w:val="30"/>
        </w:rPr>
        <w:t xml:space="preserve"> </w:t>
      </w:r>
      <w:r>
        <w:rPr>
          <w:rFonts w:hint="eastAsia" w:ascii="宋体" w:hAnsi="宋体"/>
          <w:b/>
          <w:bCs/>
          <w:sz w:val="24"/>
          <w:szCs w:val="30"/>
          <w:u w:val="single"/>
        </w:rPr>
        <w:t>参评文件的数量、签署及有关规定</w:t>
      </w:r>
    </w:p>
    <w:p>
      <w:pPr>
        <w:spacing w:line="400" w:lineRule="exact"/>
        <w:rPr>
          <w:rFonts w:ascii="宋体" w:hAnsi="宋体"/>
          <w:sz w:val="24"/>
          <w:szCs w:val="30"/>
        </w:rPr>
      </w:pPr>
      <w:r>
        <w:rPr>
          <w:rFonts w:hint="eastAsia" w:ascii="宋体" w:hAnsi="宋体"/>
          <w:b/>
          <w:bCs/>
          <w:sz w:val="24"/>
          <w:szCs w:val="30"/>
        </w:rPr>
        <w:t>10．1</w:t>
      </w:r>
      <w:r>
        <w:rPr>
          <w:rFonts w:hint="eastAsia" w:ascii="宋体" w:hAnsi="宋体"/>
          <w:sz w:val="24"/>
          <w:szCs w:val="30"/>
        </w:rPr>
        <w:t xml:space="preserve"> 组成参评文件的各项资料（本须知第8条中所规定）均应遵守本条。</w:t>
      </w:r>
    </w:p>
    <w:p>
      <w:pPr>
        <w:spacing w:line="400" w:lineRule="exact"/>
        <w:rPr>
          <w:rFonts w:ascii="宋体" w:hAnsi="宋体"/>
          <w:sz w:val="24"/>
          <w:szCs w:val="30"/>
        </w:rPr>
      </w:pPr>
      <w:r>
        <w:rPr>
          <w:rFonts w:hint="eastAsia" w:ascii="宋体" w:hAnsi="宋体"/>
          <w:b/>
          <w:bCs/>
          <w:sz w:val="24"/>
          <w:szCs w:val="30"/>
        </w:rPr>
        <w:t>10．2</w:t>
      </w:r>
      <w:r>
        <w:rPr>
          <w:rFonts w:hint="eastAsia" w:ascii="宋体" w:hAnsi="宋体"/>
          <w:sz w:val="24"/>
          <w:szCs w:val="30"/>
        </w:rPr>
        <w:t xml:space="preserve"> 参评方应填写全称，同时加盖印章。</w:t>
      </w:r>
    </w:p>
    <w:p>
      <w:pPr>
        <w:spacing w:line="400" w:lineRule="exact"/>
        <w:rPr>
          <w:rFonts w:ascii="宋体" w:hAnsi="宋体"/>
          <w:color w:val="000000"/>
          <w:sz w:val="24"/>
          <w:szCs w:val="30"/>
        </w:rPr>
      </w:pPr>
      <w:r>
        <w:rPr>
          <w:rFonts w:hint="eastAsia" w:ascii="宋体" w:hAnsi="宋体"/>
          <w:b/>
          <w:bCs/>
          <w:color w:val="000000"/>
          <w:sz w:val="24"/>
          <w:szCs w:val="30"/>
        </w:rPr>
        <w:t xml:space="preserve">10．3 </w:t>
      </w:r>
      <w:r>
        <w:rPr>
          <w:rFonts w:hint="eastAsia" w:ascii="宋体" w:hAnsi="宋体"/>
          <w:color w:val="000000"/>
          <w:sz w:val="24"/>
          <w:szCs w:val="30"/>
        </w:rPr>
        <w:t>参评文件必须由法人代表或授权代表签署（正本每页均须法人代表或授权</w:t>
      </w:r>
    </w:p>
    <w:p>
      <w:pPr>
        <w:spacing w:line="400" w:lineRule="exact"/>
        <w:ind w:firstLine="720" w:firstLineChars="300"/>
        <w:rPr>
          <w:rFonts w:ascii="宋体" w:hAnsi="宋体"/>
          <w:color w:val="000000"/>
          <w:sz w:val="24"/>
          <w:szCs w:val="30"/>
        </w:rPr>
      </w:pPr>
      <w:r>
        <w:rPr>
          <w:rFonts w:hint="eastAsia" w:ascii="宋体" w:hAnsi="宋体"/>
          <w:color w:val="000000"/>
          <w:sz w:val="24"/>
          <w:szCs w:val="30"/>
        </w:rPr>
        <w:t>代表人签字盖章，副本为正本的复印件）。</w:t>
      </w:r>
    </w:p>
    <w:p>
      <w:pPr>
        <w:spacing w:line="400" w:lineRule="exact"/>
        <w:rPr>
          <w:rFonts w:ascii="宋体" w:hAnsi="宋体"/>
          <w:sz w:val="24"/>
          <w:szCs w:val="30"/>
        </w:rPr>
      </w:pPr>
      <w:r>
        <w:rPr>
          <w:rFonts w:hint="eastAsia" w:ascii="宋体" w:hAnsi="宋体"/>
          <w:b/>
          <w:bCs/>
          <w:sz w:val="24"/>
          <w:szCs w:val="30"/>
        </w:rPr>
        <w:t>10．4</w:t>
      </w:r>
      <w:r>
        <w:rPr>
          <w:rFonts w:hint="eastAsia" w:ascii="宋体" w:hAnsi="宋体"/>
          <w:sz w:val="24"/>
          <w:szCs w:val="30"/>
        </w:rPr>
        <w:t xml:space="preserve"> 参评文件中参评书一式</w:t>
      </w:r>
      <w:r>
        <w:rPr>
          <w:rFonts w:hint="eastAsia" w:ascii="宋体" w:hAnsi="宋体"/>
          <w:sz w:val="24"/>
          <w:szCs w:val="30"/>
          <w:u w:val="single"/>
        </w:rPr>
        <w:t xml:space="preserve"> 6 </w:t>
      </w:r>
      <w:r>
        <w:rPr>
          <w:rFonts w:hint="eastAsia" w:ascii="宋体" w:hAnsi="宋体"/>
          <w:sz w:val="24"/>
          <w:szCs w:val="30"/>
        </w:rPr>
        <w:t>份。其中正本</w:t>
      </w:r>
      <w:r>
        <w:rPr>
          <w:rFonts w:hint="eastAsia" w:ascii="宋体" w:hAnsi="宋体"/>
          <w:sz w:val="24"/>
          <w:szCs w:val="30"/>
          <w:u w:val="single"/>
        </w:rPr>
        <w:t xml:space="preserve"> 1 </w:t>
      </w:r>
      <w:r>
        <w:rPr>
          <w:rFonts w:hint="eastAsia" w:ascii="宋体" w:hAnsi="宋体"/>
          <w:sz w:val="24"/>
          <w:szCs w:val="30"/>
        </w:rPr>
        <w:t>份，副本</w:t>
      </w:r>
      <w:r>
        <w:rPr>
          <w:rFonts w:hint="eastAsia" w:ascii="宋体" w:hAnsi="宋体"/>
          <w:sz w:val="24"/>
          <w:szCs w:val="30"/>
          <w:u w:val="single"/>
        </w:rPr>
        <w:t xml:space="preserve"> 5 </w:t>
      </w:r>
      <w:r>
        <w:rPr>
          <w:rFonts w:hint="eastAsia" w:ascii="宋体" w:hAnsi="宋体"/>
          <w:sz w:val="24"/>
          <w:szCs w:val="30"/>
        </w:rPr>
        <w:t>份分别装订成册。</w:t>
      </w:r>
    </w:p>
    <w:p>
      <w:pPr>
        <w:spacing w:line="400" w:lineRule="exact"/>
        <w:ind w:left="718" w:leftChars="342"/>
        <w:rPr>
          <w:rFonts w:ascii="宋体" w:hAnsi="宋体"/>
          <w:sz w:val="24"/>
          <w:szCs w:val="30"/>
        </w:rPr>
      </w:pPr>
      <w:r>
        <w:rPr>
          <w:rFonts w:hint="eastAsia" w:ascii="宋体" w:hAnsi="宋体"/>
          <w:sz w:val="24"/>
          <w:szCs w:val="30"/>
        </w:rPr>
        <w:t>资格证明文件正本</w:t>
      </w:r>
      <w:r>
        <w:rPr>
          <w:rFonts w:hint="eastAsia" w:ascii="宋体" w:hAnsi="宋体"/>
          <w:sz w:val="24"/>
          <w:szCs w:val="30"/>
          <w:u w:val="single"/>
        </w:rPr>
        <w:t xml:space="preserve"> 1 </w:t>
      </w:r>
      <w:r>
        <w:rPr>
          <w:rFonts w:hint="eastAsia" w:ascii="宋体" w:hAnsi="宋体"/>
          <w:sz w:val="24"/>
          <w:szCs w:val="30"/>
        </w:rPr>
        <w:t>份。参评文件中，如果正本与副本不符，以正本为准。</w:t>
      </w:r>
    </w:p>
    <w:p>
      <w:pPr>
        <w:spacing w:line="400" w:lineRule="exact"/>
        <w:ind w:left="723" w:hanging="723" w:hangingChars="300"/>
        <w:rPr>
          <w:rFonts w:ascii="宋体" w:hAnsi="宋体"/>
          <w:sz w:val="24"/>
          <w:szCs w:val="30"/>
        </w:rPr>
      </w:pPr>
      <w:r>
        <w:rPr>
          <w:rFonts w:hint="eastAsia" w:ascii="宋体" w:hAnsi="宋体"/>
          <w:b/>
          <w:bCs/>
          <w:sz w:val="24"/>
          <w:szCs w:val="30"/>
        </w:rPr>
        <w:t xml:space="preserve">10．5 </w:t>
      </w:r>
      <w:r>
        <w:rPr>
          <w:rFonts w:hint="eastAsia" w:ascii="宋体" w:hAnsi="宋体"/>
          <w:sz w:val="24"/>
          <w:szCs w:val="30"/>
        </w:rPr>
        <w:t>参评文件的正本必须用不退色的墨水填写或打印，注明“正本”字样。副</w:t>
      </w:r>
    </w:p>
    <w:p>
      <w:pPr>
        <w:spacing w:line="400" w:lineRule="exact"/>
        <w:ind w:left="724" w:leftChars="345"/>
        <w:rPr>
          <w:rFonts w:ascii="宋体" w:hAnsi="宋体"/>
          <w:sz w:val="24"/>
          <w:szCs w:val="30"/>
        </w:rPr>
      </w:pPr>
      <w:r>
        <w:rPr>
          <w:rFonts w:hint="eastAsia" w:ascii="宋体" w:hAnsi="宋体"/>
          <w:sz w:val="24"/>
          <w:szCs w:val="30"/>
        </w:rPr>
        <w:t>本可以用复印件。</w:t>
      </w:r>
    </w:p>
    <w:p>
      <w:pPr>
        <w:spacing w:line="400" w:lineRule="exact"/>
        <w:rPr>
          <w:rFonts w:ascii="宋体" w:hAnsi="宋体"/>
          <w:sz w:val="24"/>
          <w:szCs w:val="30"/>
        </w:rPr>
      </w:pPr>
      <w:r>
        <w:rPr>
          <w:rFonts w:hint="eastAsia" w:ascii="宋体" w:hAnsi="宋体"/>
          <w:b/>
          <w:bCs/>
          <w:sz w:val="24"/>
          <w:szCs w:val="30"/>
        </w:rPr>
        <w:t>10．6</w:t>
      </w:r>
      <w:r>
        <w:rPr>
          <w:rFonts w:hint="eastAsia" w:ascii="宋体" w:hAnsi="宋体"/>
          <w:sz w:val="24"/>
          <w:szCs w:val="30"/>
        </w:rPr>
        <w:t xml:space="preserve">参评文件不得涂改和增删，如有修改错漏处，必须由同一签署人签字。 </w:t>
      </w:r>
    </w:p>
    <w:p>
      <w:pPr>
        <w:spacing w:line="400" w:lineRule="exact"/>
        <w:rPr>
          <w:rFonts w:ascii="宋体" w:hAnsi="宋体"/>
          <w:sz w:val="24"/>
          <w:szCs w:val="30"/>
        </w:rPr>
      </w:pPr>
      <w:r>
        <w:rPr>
          <w:rFonts w:hint="eastAsia" w:ascii="宋体" w:hAnsi="宋体"/>
          <w:b/>
          <w:bCs/>
          <w:sz w:val="24"/>
          <w:szCs w:val="30"/>
        </w:rPr>
        <w:t>10．7</w:t>
      </w:r>
      <w:r>
        <w:rPr>
          <w:rFonts w:hint="eastAsia" w:ascii="宋体" w:hAnsi="宋体"/>
          <w:sz w:val="24"/>
          <w:szCs w:val="30"/>
        </w:rPr>
        <w:t>参评文件因字迹潦草或表达不清所引起的后果由参评方负责。</w:t>
      </w:r>
    </w:p>
    <w:p>
      <w:pPr>
        <w:jc w:val="center"/>
        <w:rPr>
          <w:rFonts w:ascii="宋体" w:hAnsi="宋体"/>
          <w:b/>
          <w:bCs/>
          <w:sz w:val="30"/>
          <w:szCs w:val="30"/>
        </w:rPr>
      </w:pPr>
    </w:p>
    <w:p>
      <w:pPr>
        <w:spacing w:line="480" w:lineRule="auto"/>
        <w:jc w:val="center"/>
        <w:rPr>
          <w:rFonts w:ascii="宋体" w:hAnsi="宋体"/>
          <w:b/>
          <w:bCs/>
          <w:sz w:val="30"/>
          <w:szCs w:val="30"/>
        </w:rPr>
      </w:pPr>
      <w:r>
        <w:rPr>
          <w:rFonts w:hint="eastAsia" w:ascii="宋体" w:hAnsi="宋体"/>
          <w:b/>
          <w:bCs/>
          <w:sz w:val="30"/>
          <w:szCs w:val="30"/>
        </w:rPr>
        <w:t>四  参评文件的递交</w:t>
      </w:r>
    </w:p>
    <w:p>
      <w:pPr>
        <w:spacing w:line="480" w:lineRule="auto"/>
        <w:rPr>
          <w:rFonts w:ascii="宋体" w:hAnsi="宋体"/>
          <w:b/>
          <w:bCs/>
          <w:sz w:val="24"/>
          <w:szCs w:val="30"/>
          <w:u w:val="single"/>
        </w:rPr>
      </w:pPr>
      <w:r>
        <w:rPr>
          <w:rFonts w:hint="eastAsia" w:ascii="宋体" w:hAnsi="宋体"/>
          <w:b/>
          <w:bCs/>
          <w:sz w:val="24"/>
          <w:szCs w:val="30"/>
        </w:rPr>
        <w:t>11·</w:t>
      </w:r>
      <w:r>
        <w:rPr>
          <w:rFonts w:hint="eastAsia" w:ascii="宋体" w:hAnsi="宋体"/>
          <w:b/>
          <w:bCs/>
          <w:sz w:val="24"/>
          <w:szCs w:val="30"/>
          <w:u w:val="single"/>
        </w:rPr>
        <w:t>参评文件的密封及标记</w:t>
      </w:r>
    </w:p>
    <w:p>
      <w:pPr>
        <w:spacing w:line="300" w:lineRule="auto"/>
        <w:rPr>
          <w:rFonts w:ascii="宋体" w:hAnsi="宋体"/>
          <w:sz w:val="24"/>
          <w:szCs w:val="30"/>
        </w:rPr>
      </w:pPr>
      <w:r>
        <w:rPr>
          <w:rFonts w:hint="eastAsia" w:ascii="宋体" w:hAnsi="宋体"/>
          <w:b/>
          <w:bCs/>
          <w:sz w:val="24"/>
          <w:szCs w:val="30"/>
        </w:rPr>
        <w:t>11．1</w:t>
      </w:r>
      <w:r>
        <w:rPr>
          <w:rFonts w:hint="eastAsia" w:ascii="宋体" w:hAnsi="宋体"/>
          <w:sz w:val="24"/>
          <w:szCs w:val="30"/>
        </w:rPr>
        <w:t>（1）参评单位应当将参评文件的正本和副本注明“正本”或者“副本”字</w:t>
      </w:r>
    </w:p>
    <w:p>
      <w:pPr>
        <w:spacing w:line="300" w:lineRule="auto"/>
        <w:ind w:firstLine="720" w:firstLineChars="300"/>
        <w:rPr>
          <w:rFonts w:ascii="宋体" w:hAnsi="宋体"/>
          <w:b/>
          <w:bCs/>
          <w:i/>
          <w:iCs/>
          <w:sz w:val="24"/>
          <w:szCs w:val="30"/>
        </w:rPr>
      </w:pPr>
      <w:r>
        <w:rPr>
          <w:rFonts w:hint="eastAsia" w:ascii="宋体" w:hAnsi="宋体"/>
          <w:sz w:val="24"/>
          <w:szCs w:val="30"/>
        </w:rPr>
        <w:t>样，并同时将资格证明文件一起装入参评文件袋内密封。</w:t>
      </w:r>
    </w:p>
    <w:p>
      <w:pPr>
        <w:tabs>
          <w:tab w:val="left" w:pos="1260"/>
        </w:tabs>
        <w:spacing w:line="300" w:lineRule="auto"/>
        <w:ind w:firstLine="480" w:firstLineChars="200"/>
        <w:rPr>
          <w:rFonts w:ascii="宋体" w:hAnsi="宋体"/>
          <w:sz w:val="24"/>
          <w:szCs w:val="30"/>
        </w:rPr>
      </w:pPr>
      <w:r>
        <w:rPr>
          <w:rFonts w:hint="eastAsia" w:ascii="宋体" w:hAnsi="宋体"/>
          <w:sz w:val="24"/>
          <w:szCs w:val="30"/>
        </w:rPr>
        <w:t>（2）用封条将参评文件袋背面上方开口处密封，并且填写密封日期，封条</w:t>
      </w:r>
    </w:p>
    <w:p>
      <w:pPr>
        <w:spacing w:line="300" w:lineRule="auto"/>
        <w:ind w:left="718" w:leftChars="342"/>
        <w:rPr>
          <w:rFonts w:ascii="宋体" w:hAnsi="宋体"/>
          <w:i/>
          <w:iCs/>
          <w:sz w:val="24"/>
          <w:szCs w:val="30"/>
        </w:rPr>
      </w:pPr>
      <w:r>
        <w:rPr>
          <w:rFonts w:hint="eastAsia" w:ascii="宋体" w:hAnsi="宋体"/>
          <w:sz w:val="24"/>
          <w:szCs w:val="30"/>
        </w:rPr>
        <w:t>上加盖参评单位公章和法定代表人印鉴各两枚；在参评文件袋正面按照规定在齐缝处加盖参评单位公章和法定代</w:t>
      </w:r>
      <w:r>
        <w:rPr>
          <w:rFonts w:hint="eastAsia" w:ascii="宋体" w:hAnsi="宋体"/>
          <w:color w:val="000000"/>
          <w:sz w:val="24"/>
          <w:szCs w:val="30"/>
        </w:rPr>
        <w:t>表人</w:t>
      </w:r>
      <w:r>
        <w:rPr>
          <w:rFonts w:hint="eastAsia" w:ascii="宋体" w:hAnsi="宋体"/>
          <w:sz w:val="24"/>
          <w:szCs w:val="30"/>
        </w:rPr>
        <w:t>印签各两枚。</w:t>
      </w:r>
    </w:p>
    <w:p>
      <w:pPr>
        <w:spacing w:line="300" w:lineRule="auto"/>
        <w:ind w:left="723" w:hanging="723" w:hangingChars="300"/>
        <w:rPr>
          <w:rFonts w:ascii="宋体" w:hAnsi="宋体"/>
          <w:sz w:val="24"/>
          <w:szCs w:val="30"/>
        </w:rPr>
      </w:pPr>
      <w:r>
        <w:rPr>
          <w:rFonts w:hint="eastAsia" w:ascii="宋体" w:hAnsi="宋体"/>
          <w:b/>
          <w:bCs/>
          <w:sz w:val="24"/>
          <w:szCs w:val="30"/>
        </w:rPr>
        <w:t xml:space="preserve">11．2 </w:t>
      </w:r>
      <w:r>
        <w:rPr>
          <w:rFonts w:hint="eastAsia" w:ascii="宋体" w:hAnsi="宋体"/>
          <w:sz w:val="24"/>
          <w:szCs w:val="30"/>
        </w:rPr>
        <w:t>如果参评方未按上述要求密封及加写标记</w:t>
      </w:r>
      <w:r>
        <w:rPr>
          <w:rFonts w:hint="eastAsia" w:ascii="宋体" w:hAnsi="宋体"/>
          <w:b/>
          <w:bCs/>
          <w:sz w:val="24"/>
          <w:szCs w:val="30"/>
        </w:rPr>
        <w:t>，</w:t>
      </w:r>
      <w:r>
        <w:rPr>
          <w:rFonts w:hint="eastAsia" w:ascii="宋体" w:hAnsi="宋体"/>
          <w:sz w:val="24"/>
          <w:szCs w:val="30"/>
        </w:rPr>
        <w:t>商谈方对参评文件的误投和提</w:t>
      </w:r>
    </w:p>
    <w:p>
      <w:pPr>
        <w:spacing w:line="300" w:lineRule="auto"/>
        <w:ind w:left="724" w:leftChars="345"/>
        <w:rPr>
          <w:rFonts w:ascii="宋体" w:hAnsi="宋体"/>
          <w:sz w:val="24"/>
          <w:szCs w:val="30"/>
        </w:rPr>
      </w:pPr>
      <w:r>
        <w:rPr>
          <w:rFonts w:hint="eastAsia" w:ascii="宋体" w:hAnsi="宋体"/>
          <w:sz w:val="24"/>
          <w:szCs w:val="30"/>
        </w:rPr>
        <w:t>前启封概不负责。</w:t>
      </w:r>
    </w:p>
    <w:p>
      <w:pPr>
        <w:spacing w:line="480" w:lineRule="auto"/>
        <w:rPr>
          <w:rFonts w:ascii="宋体" w:hAnsi="宋体"/>
          <w:b/>
          <w:bCs/>
          <w:sz w:val="24"/>
          <w:szCs w:val="30"/>
          <w:u w:val="single"/>
        </w:rPr>
      </w:pPr>
      <w:r>
        <w:rPr>
          <w:rFonts w:hint="eastAsia" w:ascii="宋体" w:hAnsi="宋体"/>
          <w:b/>
          <w:bCs/>
          <w:sz w:val="24"/>
          <w:szCs w:val="30"/>
        </w:rPr>
        <w:t xml:space="preserve">12· </w:t>
      </w:r>
      <w:r>
        <w:rPr>
          <w:rFonts w:hint="eastAsia" w:ascii="宋体" w:hAnsi="宋体"/>
          <w:b/>
          <w:bCs/>
          <w:sz w:val="24"/>
          <w:szCs w:val="30"/>
          <w:u w:val="single"/>
        </w:rPr>
        <w:t xml:space="preserve"> 参评截止时间</w:t>
      </w:r>
    </w:p>
    <w:p>
      <w:pPr>
        <w:spacing w:line="480" w:lineRule="auto"/>
        <w:rPr>
          <w:rFonts w:ascii="宋体" w:hAnsi="宋体"/>
          <w:b/>
          <w:bCs/>
          <w:color w:val="000000"/>
          <w:sz w:val="24"/>
          <w:szCs w:val="30"/>
        </w:rPr>
      </w:pPr>
      <w:r>
        <w:rPr>
          <w:rFonts w:hint="eastAsia" w:ascii="宋体" w:hAnsi="宋体"/>
          <w:b/>
          <w:bCs/>
          <w:color w:val="000000"/>
          <w:sz w:val="24"/>
          <w:szCs w:val="30"/>
        </w:rPr>
        <w:t>12．1</w:t>
      </w:r>
      <w:r>
        <w:rPr>
          <w:rFonts w:hint="eastAsia" w:ascii="宋体" w:hAnsi="宋体"/>
          <w:color w:val="000000"/>
          <w:sz w:val="24"/>
          <w:szCs w:val="30"/>
        </w:rPr>
        <w:t>参评截止时间：</w:t>
      </w:r>
      <w:r>
        <w:rPr>
          <w:rFonts w:hint="eastAsia" w:ascii="宋体" w:hAnsi="宋体"/>
          <w:color w:val="000000"/>
          <w:sz w:val="24"/>
          <w:szCs w:val="30"/>
          <w:lang w:val="en-US" w:eastAsia="zh-CN"/>
        </w:rPr>
        <w:t>2020</w:t>
      </w:r>
      <w:r>
        <w:rPr>
          <w:rFonts w:hint="eastAsia" w:ascii="宋体" w:hAnsi="宋体"/>
          <w:color w:val="000000"/>
          <w:sz w:val="24"/>
          <w:szCs w:val="30"/>
        </w:rPr>
        <w:t>年</w:t>
      </w:r>
      <w:r>
        <w:rPr>
          <w:rFonts w:hint="eastAsia" w:ascii="宋体" w:hAnsi="宋体"/>
          <w:color w:val="000000"/>
          <w:sz w:val="24"/>
          <w:szCs w:val="30"/>
          <w:u w:val="single"/>
        </w:rPr>
        <w:t xml:space="preserve">   </w:t>
      </w:r>
      <w:r>
        <w:rPr>
          <w:rFonts w:hint="eastAsia" w:ascii="宋体" w:hAnsi="宋体"/>
          <w:color w:val="000000"/>
          <w:sz w:val="24"/>
          <w:szCs w:val="30"/>
        </w:rPr>
        <w:t>月</w:t>
      </w:r>
      <w:r>
        <w:rPr>
          <w:rFonts w:hint="eastAsia" w:ascii="宋体" w:hAnsi="宋体"/>
          <w:color w:val="000000"/>
          <w:sz w:val="24"/>
          <w:szCs w:val="30"/>
          <w:u w:val="single"/>
        </w:rPr>
        <w:t xml:space="preserve">   日      </w:t>
      </w:r>
      <w:r>
        <w:rPr>
          <w:rFonts w:hint="eastAsia" w:ascii="宋体" w:hAnsi="宋体"/>
          <w:color w:val="000000"/>
          <w:sz w:val="24"/>
          <w:szCs w:val="30"/>
        </w:rPr>
        <w:t>时（北京时间）。</w:t>
      </w:r>
    </w:p>
    <w:p>
      <w:pPr>
        <w:spacing w:line="300" w:lineRule="auto"/>
        <w:rPr>
          <w:rFonts w:ascii="宋体" w:hAnsi="宋体"/>
          <w:sz w:val="24"/>
          <w:szCs w:val="30"/>
        </w:rPr>
      </w:pPr>
      <w:r>
        <w:rPr>
          <w:rFonts w:hint="eastAsia" w:ascii="宋体" w:hAnsi="宋体"/>
          <w:b/>
          <w:bCs/>
          <w:sz w:val="24"/>
          <w:szCs w:val="30"/>
        </w:rPr>
        <w:t>12．2</w:t>
      </w:r>
      <w:r>
        <w:rPr>
          <w:rFonts w:hint="eastAsia" w:ascii="宋体" w:hAnsi="宋体"/>
          <w:sz w:val="24"/>
          <w:szCs w:val="30"/>
        </w:rPr>
        <w:t xml:space="preserve"> 参评文件必须在参评截止时间前邮寄到达或派人送达到指定的参评地点。</w:t>
      </w:r>
    </w:p>
    <w:p>
      <w:pPr>
        <w:spacing w:line="300" w:lineRule="auto"/>
        <w:ind w:left="723" w:hanging="723" w:hangingChars="300"/>
        <w:rPr>
          <w:rFonts w:ascii="宋体" w:hAnsi="宋体"/>
          <w:sz w:val="24"/>
          <w:szCs w:val="30"/>
        </w:rPr>
      </w:pPr>
      <w:r>
        <w:rPr>
          <w:rFonts w:hint="eastAsia" w:ascii="宋体" w:hAnsi="宋体"/>
          <w:b/>
          <w:bCs/>
          <w:sz w:val="24"/>
          <w:szCs w:val="30"/>
        </w:rPr>
        <w:t xml:space="preserve">12．3 </w:t>
      </w:r>
      <w:r>
        <w:rPr>
          <w:rFonts w:hint="eastAsia" w:ascii="宋体" w:hAnsi="宋体"/>
          <w:sz w:val="24"/>
          <w:szCs w:val="30"/>
        </w:rPr>
        <w:t>商谈方推迟参评截止时间时，应以书面（或传真、邮件）的形式，通知所有参评方。在这种情况下，商谈方和参评方的权利和义务将受到新的截止期的约束。</w:t>
      </w:r>
    </w:p>
    <w:p>
      <w:pPr>
        <w:spacing w:line="300" w:lineRule="auto"/>
        <w:rPr>
          <w:rFonts w:ascii="宋体" w:hAnsi="宋体"/>
          <w:sz w:val="24"/>
          <w:szCs w:val="30"/>
        </w:rPr>
      </w:pPr>
      <w:r>
        <w:rPr>
          <w:rFonts w:hint="eastAsia" w:ascii="宋体" w:hAnsi="宋体"/>
          <w:b/>
          <w:bCs/>
          <w:sz w:val="24"/>
          <w:szCs w:val="30"/>
        </w:rPr>
        <w:t>12．4</w:t>
      </w:r>
      <w:r>
        <w:rPr>
          <w:rFonts w:hint="eastAsia" w:ascii="宋体" w:hAnsi="宋体"/>
          <w:sz w:val="24"/>
          <w:szCs w:val="30"/>
        </w:rPr>
        <w:t>商谈方对参评文件在邮寄过程中的遗失或损坏不负责任。</w:t>
      </w:r>
    </w:p>
    <w:p>
      <w:pPr>
        <w:spacing w:line="300" w:lineRule="auto"/>
        <w:rPr>
          <w:rFonts w:ascii="宋体" w:hAnsi="宋体"/>
          <w:sz w:val="24"/>
          <w:szCs w:val="30"/>
        </w:rPr>
      </w:pPr>
      <w:r>
        <w:rPr>
          <w:rFonts w:hint="eastAsia" w:ascii="宋体" w:hAnsi="宋体"/>
          <w:b/>
          <w:bCs/>
          <w:sz w:val="24"/>
          <w:szCs w:val="30"/>
        </w:rPr>
        <w:t xml:space="preserve">12．5 </w:t>
      </w:r>
      <w:r>
        <w:rPr>
          <w:rFonts w:hint="eastAsia" w:ascii="宋体" w:hAnsi="宋体"/>
          <w:sz w:val="24"/>
          <w:szCs w:val="30"/>
        </w:rPr>
        <w:t>在参评截止时间以后送达的参评文件和不符合规定的参评文件，商谈方有权拒绝接收。</w:t>
      </w:r>
    </w:p>
    <w:p>
      <w:pPr>
        <w:spacing w:line="480" w:lineRule="auto"/>
        <w:rPr>
          <w:rFonts w:ascii="宋体" w:hAnsi="宋体"/>
          <w:b/>
          <w:bCs/>
          <w:sz w:val="24"/>
          <w:szCs w:val="30"/>
          <w:u w:val="single"/>
        </w:rPr>
      </w:pPr>
      <w:r>
        <w:rPr>
          <w:rFonts w:hint="eastAsia" w:ascii="宋体" w:hAnsi="宋体"/>
          <w:b/>
          <w:bCs/>
          <w:sz w:val="24"/>
          <w:szCs w:val="30"/>
        </w:rPr>
        <w:t xml:space="preserve">13· </w:t>
      </w:r>
      <w:r>
        <w:rPr>
          <w:rFonts w:hint="eastAsia" w:ascii="宋体" w:hAnsi="宋体"/>
          <w:sz w:val="24"/>
          <w:szCs w:val="30"/>
        </w:rPr>
        <w:t xml:space="preserve"> </w:t>
      </w:r>
      <w:r>
        <w:rPr>
          <w:rFonts w:hint="eastAsia" w:ascii="宋体" w:hAnsi="宋体"/>
          <w:b/>
          <w:bCs/>
          <w:sz w:val="24"/>
          <w:szCs w:val="30"/>
          <w:u w:val="single"/>
        </w:rPr>
        <w:t>参评文件的修改和撤回</w:t>
      </w:r>
    </w:p>
    <w:p>
      <w:pPr>
        <w:spacing w:line="300" w:lineRule="auto"/>
        <w:ind w:left="723" w:hanging="723" w:hangingChars="300"/>
        <w:rPr>
          <w:rFonts w:ascii="宋体" w:hAnsi="宋体"/>
          <w:sz w:val="24"/>
          <w:szCs w:val="30"/>
        </w:rPr>
      </w:pPr>
      <w:r>
        <w:rPr>
          <w:rFonts w:hint="eastAsia" w:ascii="宋体" w:hAnsi="宋体"/>
          <w:b/>
          <w:bCs/>
          <w:sz w:val="24"/>
          <w:szCs w:val="30"/>
        </w:rPr>
        <w:t>13．1</w:t>
      </w:r>
      <w:r>
        <w:rPr>
          <w:rFonts w:hint="eastAsia" w:ascii="宋体" w:hAnsi="宋体"/>
          <w:sz w:val="24"/>
          <w:szCs w:val="30"/>
        </w:rPr>
        <w:t>如果参评方提出书面修改和撤标要求，在参评截止时间前送达商谈方者，商谈方可以据实际情况考虑接受。</w:t>
      </w:r>
    </w:p>
    <w:p>
      <w:pPr>
        <w:spacing w:line="300" w:lineRule="auto"/>
        <w:rPr>
          <w:rFonts w:ascii="宋体" w:hAnsi="宋体"/>
          <w:sz w:val="24"/>
          <w:szCs w:val="30"/>
        </w:rPr>
      </w:pPr>
      <w:r>
        <w:rPr>
          <w:rFonts w:hint="eastAsia" w:ascii="宋体" w:hAnsi="宋体"/>
          <w:b/>
          <w:bCs/>
          <w:sz w:val="24"/>
          <w:szCs w:val="30"/>
        </w:rPr>
        <w:t>13．2</w:t>
      </w:r>
      <w:r>
        <w:rPr>
          <w:rFonts w:hint="eastAsia" w:ascii="宋体" w:hAnsi="宋体"/>
          <w:sz w:val="24"/>
          <w:szCs w:val="30"/>
        </w:rPr>
        <w:t xml:space="preserve"> 参评方修改参评文件的书面材料，须密封送达商谈方。</w:t>
      </w:r>
    </w:p>
    <w:p>
      <w:pPr>
        <w:spacing w:line="300" w:lineRule="auto"/>
        <w:ind w:left="723" w:hanging="723" w:hangingChars="300"/>
        <w:rPr>
          <w:rFonts w:ascii="宋体" w:hAnsi="宋体"/>
          <w:sz w:val="24"/>
          <w:szCs w:val="30"/>
        </w:rPr>
      </w:pPr>
      <w:r>
        <w:rPr>
          <w:rFonts w:hint="eastAsia" w:ascii="宋体" w:hAnsi="宋体"/>
          <w:b/>
          <w:bCs/>
          <w:sz w:val="24"/>
          <w:szCs w:val="30"/>
        </w:rPr>
        <w:t>13．3</w:t>
      </w:r>
      <w:r>
        <w:rPr>
          <w:rFonts w:hint="eastAsia" w:ascii="宋体" w:hAnsi="宋体"/>
          <w:sz w:val="24"/>
          <w:szCs w:val="30"/>
        </w:rPr>
        <w:t xml:space="preserve"> 撤回参评应以书面（或传真、邮件）的形式通知商谈方。如采取邮件或传</w:t>
      </w:r>
    </w:p>
    <w:p>
      <w:pPr>
        <w:spacing w:line="300" w:lineRule="auto"/>
        <w:ind w:left="724" w:leftChars="345"/>
        <w:rPr>
          <w:rFonts w:ascii="宋体" w:hAnsi="宋体"/>
          <w:sz w:val="24"/>
          <w:szCs w:val="30"/>
        </w:rPr>
      </w:pPr>
      <w:r>
        <w:rPr>
          <w:rFonts w:hint="eastAsia" w:ascii="宋体" w:hAnsi="宋体"/>
          <w:sz w:val="24"/>
          <w:szCs w:val="30"/>
        </w:rPr>
        <w:t>真形式撤回参评，随后必须补充有法人代表或授权代表签署的要求撤回投</w:t>
      </w:r>
    </w:p>
    <w:p>
      <w:pPr>
        <w:spacing w:line="300" w:lineRule="auto"/>
        <w:ind w:left="724" w:leftChars="345"/>
        <w:rPr>
          <w:rFonts w:ascii="宋体" w:hAnsi="宋体"/>
          <w:sz w:val="24"/>
          <w:szCs w:val="30"/>
        </w:rPr>
      </w:pPr>
      <w:r>
        <w:rPr>
          <w:rFonts w:hint="eastAsia" w:ascii="宋体" w:hAnsi="宋体"/>
          <w:sz w:val="24"/>
          <w:szCs w:val="30"/>
        </w:rPr>
        <w:t>标的正式文件。撤回参评的时间以送达商谈方或到达日戳为准。</w:t>
      </w:r>
    </w:p>
    <w:p>
      <w:pPr>
        <w:tabs>
          <w:tab w:val="left" w:pos="735"/>
        </w:tabs>
        <w:spacing w:line="300" w:lineRule="auto"/>
        <w:rPr>
          <w:rFonts w:ascii="宋体" w:hAnsi="宋体"/>
          <w:sz w:val="24"/>
          <w:szCs w:val="30"/>
        </w:rPr>
      </w:pPr>
      <w:r>
        <w:rPr>
          <w:rFonts w:hint="eastAsia" w:ascii="宋体" w:hAnsi="宋体"/>
          <w:b/>
          <w:bCs/>
          <w:sz w:val="24"/>
          <w:szCs w:val="30"/>
        </w:rPr>
        <w:t>13．4</w:t>
      </w:r>
      <w:r>
        <w:rPr>
          <w:rFonts w:hint="eastAsia" w:ascii="宋体" w:hAnsi="宋体"/>
          <w:sz w:val="24"/>
          <w:szCs w:val="30"/>
        </w:rPr>
        <w:t xml:space="preserve"> 参评截止日后参评方不得撤回参评。</w:t>
      </w:r>
    </w:p>
    <w:p>
      <w:pPr>
        <w:spacing w:line="480" w:lineRule="auto"/>
        <w:rPr>
          <w:rFonts w:ascii="宋体" w:hAnsi="宋体"/>
          <w:b/>
          <w:bCs/>
          <w:sz w:val="24"/>
          <w:szCs w:val="30"/>
        </w:rPr>
      </w:pPr>
      <w:r>
        <w:rPr>
          <w:rFonts w:hint="eastAsia" w:ascii="宋体" w:hAnsi="宋体"/>
          <w:b/>
          <w:bCs/>
          <w:sz w:val="24"/>
          <w:szCs w:val="30"/>
        </w:rPr>
        <w:t xml:space="preserve">14·  </w:t>
      </w:r>
      <w:r>
        <w:rPr>
          <w:rFonts w:hint="eastAsia" w:ascii="宋体" w:hAnsi="宋体"/>
          <w:b/>
          <w:bCs/>
          <w:sz w:val="24"/>
          <w:szCs w:val="30"/>
          <w:u w:val="single"/>
        </w:rPr>
        <w:t>废标：</w:t>
      </w:r>
      <w:r>
        <w:rPr>
          <w:rFonts w:hint="eastAsia" w:ascii="宋体" w:hAnsi="宋体"/>
          <w:b/>
          <w:bCs/>
          <w:sz w:val="24"/>
          <w:szCs w:val="30"/>
        </w:rPr>
        <w:t xml:space="preserve">                                       </w:t>
      </w:r>
    </w:p>
    <w:p>
      <w:pPr>
        <w:spacing w:line="300" w:lineRule="auto"/>
        <w:rPr>
          <w:rFonts w:ascii="宋体" w:hAnsi="宋体"/>
          <w:sz w:val="24"/>
          <w:szCs w:val="30"/>
        </w:rPr>
      </w:pPr>
      <w:r>
        <w:rPr>
          <w:rFonts w:hint="eastAsia" w:ascii="宋体" w:hAnsi="宋体"/>
          <w:b/>
          <w:bCs/>
          <w:sz w:val="24"/>
          <w:szCs w:val="30"/>
        </w:rPr>
        <w:t>14．1</w:t>
      </w:r>
      <w:r>
        <w:rPr>
          <w:rFonts w:hint="eastAsia" w:ascii="宋体" w:hAnsi="宋体"/>
          <w:sz w:val="24"/>
          <w:szCs w:val="30"/>
        </w:rPr>
        <w:t xml:space="preserve"> 如有下列情况之一者为废标：</w:t>
      </w:r>
    </w:p>
    <w:p>
      <w:pPr>
        <w:spacing w:line="300" w:lineRule="auto"/>
        <w:rPr>
          <w:rFonts w:ascii="宋体" w:hAnsi="宋体"/>
          <w:sz w:val="24"/>
          <w:szCs w:val="30"/>
        </w:rPr>
      </w:pPr>
      <w:r>
        <w:rPr>
          <w:rFonts w:hint="eastAsia" w:ascii="宋体" w:hAnsi="宋体"/>
          <w:sz w:val="24"/>
          <w:szCs w:val="30"/>
        </w:rPr>
        <w:t xml:space="preserve">  1．参评文件未密封；</w:t>
      </w:r>
    </w:p>
    <w:p>
      <w:pPr>
        <w:spacing w:line="300" w:lineRule="auto"/>
        <w:rPr>
          <w:rFonts w:ascii="宋体" w:hAnsi="宋体"/>
          <w:sz w:val="24"/>
          <w:szCs w:val="30"/>
        </w:rPr>
      </w:pPr>
      <w:r>
        <w:rPr>
          <w:rFonts w:hint="eastAsia" w:ascii="宋体" w:hAnsi="宋体"/>
          <w:sz w:val="24"/>
          <w:szCs w:val="30"/>
        </w:rPr>
        <w:t xml:space="preserve">  2．参评文件未盖单位公章及法人代表未签名；</w:t>
      </w:r>
    </w:p>
    <w:p>
      <w:pPr>
        <w:spacing w:line="300" w:lineRule="auto"/>
        <w:rPr>
          <w:rFonts w:ascii="宋体" w:hAnsi="宋体"/>
          <w:sz w:val="24"/>
          <w:szCs w:val="30"/>
        </w:rPr>
      </w:pPr>
      <w:r>
        <w:rPr>
          <w:rFonts w:hint="eastAsia" w:ascii="宋体" w:hAnsi="宋体"/>
          <w:sz w:val="24"/>
          <w:szCs w:val="30"/>
        </w:rPr>
        <w:t xml:space="preserve">  3．参评文件内容不全或未按规定格式将内容填写清楚；</w:t>
      </w:r>
    </w:p>
    <w:p>
      <w:pPr>
        <w:spacing w:line="300" w:lineRule="auto"/>
        <w:rPr>
          <w:rFonts w:ascii="宋体" w:hAnsi="宋体"/>
          <w:sz w:val="24"/>
          <w:szCs w:val="30"/>
        </w:rPr>
      </w:pPr>
      <w:r>
        <w:rPr>
          <w:rFonts w:hint="eastAsia" w:ascii="宋体" w:hAnsi="宋体"/>
          <w:sz w:val="24"/>
          <w:szCs w:val="30"/>
        </w:rPr>
        <w:t xml:space="preserve">  4．参评文件逾期送达。</w:t>
      </w:r>
    </w:p>
    <w:p>
      <w:pPr>
        <w:spacing w:line="480" w:lineRule="auto"/>
        <w:rPr>
          <w:rFonts w:ascii="宋体" w:hAnsi="宋体"/>
          <w:b/>
          <w:bCs/>
          <w:sz w:val="24"/>
          <w:szCs w:val="30"/>
          <w:u w:val="single"/>
        </w:rPr>
      </w:pPr>
      <w:r>
        <w:rPr>
          <w:rFonts w:hint="eastAsia" w:ascii="宋体" w:hAnsi="宋体"/>
          <w:b/>
          <w:bCs/>
          <w:sz w:val="24"/>
          <w:szCs w:val="30"/>
        </w:rPr>
        <w:t xml:space="preserve">15· </w:t>
      </w:r>
      <w:r>
        <w:rPr>
          <w:rFonts w:hint="eastAsia" w:ascii="宋体" w:hAnsi="宋体"/>
          <w:b/>
          <w:bCs/>
          <w:sz w:val="24"/>
          <w:szCs w:val="30"/>
          <w:u w:val="single"/>
        </w:rPr>
        <w:t xml:space="preserve"> 参评的澄清</w:t>
      </w:r>
    </w:p>
    <w:p>
      <w:pPr>
        <w:spacing w:line="300" w:lineRule="auto"/>
        <w:ind w:left="723" w:hanging="723" w:hangingChars="300"/>
        <w:rPr>
          <w:rFonts w:ascii="宋体" w:hAnsi="宋体"/>
          <w:sz w:val="24"/>
          <w:szCs w:val="30"/>
        </w:rPr>
      </w:pPr>
      <w:r>
        <w:rPr>
          <w:rFonts w:hint="eastAsia" w:ascii="宋体" w:hAnsi="宋体"/>
          <w:b/>
          <w:bCs/>
          <w:sz w:val="24"/>
          <w:szCs w:val="30"/>
        </w:rPr>
        <w:t xml:space="preserve">15．1 </w:t>
      </w:r>
      <w:r>
        <w:rPr>
          <w:rFonts w:hint="eastAsia" w:ascii="宋体" w:hAnsi="宋体"/>
          <w:sz w:val="24"/>
          <w:szCs w:val="30"/>
        </w:rPr>
        <w:t>商谈方有权就参评文件中含混之处向参评方提出询问或澄清要求。参评方必须按照商谈方通知的时间、地点派技术和商务人员进行答疑和澄清。</w:t>
      </w:r>
    </w:p>
    <w:p>
      <w:pPr>
        <w:spacing w:line="300" w:lineRule="auto"/>
        <w:ind w:left="723" w:hanging="723" w:hangingChars="300"/>
        <w:rPr>
          <w:rFonts w:ascii="宋体" w:hAnsi="宋体"/>
          <w:sz w:val="24"/>
          <w:szCs w:val="30"/>
        </w:rPr>
      </w:pPr>
      <w:r>
        <w:rPr>
          <w:rFonts w:hint="eastAsia" w:ascii="宋体" w:hAnsi="宋体"/>
          <w:b/>
          <w:bCs/>
          <w:sz w:val="24"/>
          <w:szCs w:val="30"/>
        </w:rPr>
        <w:t xml:space="preserve">15．2 </w:t>
      </w:r>
      <w:r>
        <w:rPr>
          <w:rFonts w:hint="eastAsia" w:ascii="宋体" w:hAnsi="宋体"/>
          <w:sz w:val="24"/>
          <w:szCs w:val="30"/>
        </w:rPr>
        <w:t>必要时商谈方可要求参评方就澄清的问题作书面回答，该书面回答应有参评全权代表的签章，并将作为参评文件的一部分。</w:t>
      </w:r>
    </w:p>
    <w:p>
      <w:pPr>
        <w:spacing w:line="480" w:lineRule="auto"/>
        <w:rPr>
          <w:rFonts w:ascii="宋体" w:hAnsi="宋体"/>
          <w:b/>
          <w:bCs/>
          <w:sz w:val="24"/>
          <w:szCs w:val="30"/>
          <w:u w:val="single"/>
        </w:rPr>
      </w:pPr>
      <w:r>
        <w:rPr>
          <w:rFonts w:hint="eastAsia" w:ascii="宋体" w:hAnsi="宋体"/>
          <w:b/>
          <w:bCs/>
          <w:sz w:val="24"/>
          <w:szCs w:val="30"/>
        </w:rPr>
        <w:t>16·</w:t>
      </w:r>
      <w:r>
        <w:rPr>
          <w:rFonts w:hint="eastAsia" w:ascii="宋体" w:hAnsi="宋体"/>
          <w:sz w:val="24"/>
          <w:szCs w:val="30"/>
        </w:rPr>
        <w:t xml:space="preserve">  </w:t>
      </w:r>
      <w:r>
        <w:rPr>
          <w:rFonts w:hint="eastAsia" w:ascii="宋体" w:hAnsi="宋体"/>
          <w:b/>
          <w:bCs/>
          <w:sz w:val="24"/>
          <w:szCs w:val="30"/>
          <w:u w:val="single"/>
        </w:rPr>
        <w:t>评标</w:t>
      </w:r>
    </w:p>
    <w:p>
      <w:pPr>
        <w:spacing w:line="300" w:lineRule="auto"/>
        <w:ind w:left="723" w:hanging="723" w:hangingChars="300"/>
        <w:rPr>
          <w:rFonts w:ascii="宋体" w:hAnsi="宋体"/>
          <w:sz w:val="24"/>
          <w:szCs w:val="30"/>
        </w:rPr>
      </w:pPr>
      <w:r>
        <w:rPr>
          <w:rFonts w:hint="eastAsia" w:ascii="宋体" w:hAnsi="宋体"/>
          <w:b/>
          <w:bCs/>
          <w:sz w:val="24"/>
          <w:szCs w:val="30"/>
        </w:rPr>
        <w:t xml:space="preserve">16．1 </w:t>
      </w:r>
      <w:r>
        <w:rPr>
          <w:rFonts w:hint="eastAsia" w:ascii="宋体" w:hAnsi="宋体"/>
          <w:sz w:val="24"/>
          <w:szCs w:val="30"/>
        </w:rPr>
        <w:t>商谈方根据商谈货物特点组建评标委员会，只对具备实质性响应的参评文件进行评估和比较。评标委员会由商谈方有关方面的代表组成。评标委员会负责评标工作。</w:t>
      </w:r>
      <w:r>
        <w:rPr>
          <w:rFonts w:hint="eastAsia" w:ascii="宋体" w:hAnsi="宋体" w:cs="宋体"/>
          <w:bCs/>
          <w:sz w:val="24"/>
          <w:szCs w:val="24"/>
        </w:rPr>
        <w:t>按医院管理办法，由院评审小组综合评定，对评价结果不作解释。</w:t>
      </w:r>
    </w:p>
    <w:p>
      <w:pPr>
        <w:spacing w:line="480" w:lineRule="auto"/>
        <w:rPr>
          <w:rFonts w:ascii="宋体" w:hAnsi="宋体"/>
          <w:b/>
          <w:bCs/>
          <w:sz w:val="24"/>
          <w:szCs w:val="30"/>
          <w:u w:val="single"/>
        </w:rPr>
      </w:pPr>
      <w:r>
        <w:rPr>
          <w:rFonts w:hint="eastAsia" w:ascii="宋体" w:hAnsi="宋体"/>
          <w:b/>
          <w:bCs/>
          <w:sz w:val="24"/>
          <w:szCs w:val="30"/>
        </w:rPr>
        <w:t>17. 评分机制</w:t>
      </w:r>
    </w:p>
    <w:p>
      <w:pPr>
        <w:spacing w:line="300" w:lineRule="auto"/>
        <w:rPr>
          <w:rFonts w:ascii="宋体" w:hAnsi="宋体"/>
          <w:sz w:val="24"/>
          <w:szCs w:val="30"/>
        </w:rPr>
      </w:pPr>
      <w:r>
        <w:rPr>
          <w:rFonts w:hint="eastAsia" w:ascii="宋体" w:hAnsi="宋体"/>
          <w:sz w:val="24"/>
          <w:szCs w:val="30"/>
        </w:rPr>
        <w:t xml:space="preserve">    评标委员严格按照商谈文件的要求制定评分标准，以得分数高低确定是否入围：</w:t>
      </w:r>
    </w:p>
    <w:p>
      <w:pPr>
        <w:spacing w:before="156" w:beforeLines="50" w:after="156" w:afterLines="50" w:line="300" w:lineRule="auto"/>
        <w:rPr>
          <w:rFonts w:ascii="宋体" w:hAnsi="宋体"/>
          <w:sz w:val="24"/>
          <w:szCs w:val="30"/>
        </w:rPr>
      </w:pPr>
      <w:r>
        <w:rPr>
          <w:rFonts w:hint="eastAsia" w:ascii="宋体" w:hAnsi="宋体"/>
          <w:b/>
          <w:sz w:val="24"/>
          <w:szCs w:val="28"/>
        </w:rPr>
        <w:t>17.1</w:t>
      </w:r>
      <w:bookmarkStart w:id="0" w:name="_Toc182849000"/>
      <w:r>
        <w:rPr>
          <w:rFonts w:ascii="宋体" w:hAnsi="宋体"/>
          <w:b/>
          <w:sz w:val="24"/>
          <w:szCs w:val="28"/>
        </w:rPr>
        <w:t xml:space="preserve"> </w:t>
      </w:r>
      <w:r>
        <w:rPr>
          <w:rFonts w:hint="eastAsia" w:ascii="宋体" w:hAnsi="宋体"/>
          <w:b/>
          <w:sz w:val="24"/>
          <w:szCs w:val="28"/>
        </w:rPr>
        <w:t>评审原则</w:t>
      </w:r>
    </w:p>
    <w:p>
      <w:pPr>
        <w:spacing w:line="360" w:lineRule="auto"/>
        <w:ind w:left="-21" w:leftChars="-67" w:hanging="120" w:hangingChars="50"/>
        <w:rPr>
          <w:rFonts w:ascii="宋体" w:hAnsi="宋体"/>
          <w:sz w:val="24"/>
          <w:szCs w:val="24"/>
        </w:rPr>
      </w:pPr>
      <w:r>
        <w:rPr>
          <w:rFonts w:hint="eastAsia" w:ascii="宋体" w:hAnsi="宋体"/>
          <w:sz w:val="24"/>
          <w:szCs w:val="24"/>
        </w:rPr>
        <w:t>（一）</w:t>
      </w:r>
      <w:r>
        <w:rPr>
          <w:rFonts w:ascii="宋体" w:hAnsi="宋体"/>
          <w:sz w:val="24"/>
          <w:szCs w:val="24"/>
        </w:rPr>
        <w:t>评标活动遵循公平、公正、科学、择优的原则。</w:t>
      </w:r>
    </w:p>
    <w:p>
      <w:pPr>
        <w:spacing w:line="360" w:lineRule="auto"/>
        <w:ind w:left="-21" w:leftChars="-67" w:hanging="120" w:hangingChars="50"/>
        <w:rPr>
          <w:rFonts w:ascii="宋体" w:hAnsi="宋体"/>
          <w:sz w:val="24"/>
          <w:szCs w:val="24"/>
        </w:rPr>
      </w:pPr>
      <w:r>
        <w:rPr>
          <w:rFonts w:hint="eastAsia" w:ascii="宋体" w:hAnsi="宋体"/>
          <w:sz w:val="24"/>
          <w:szCs w:val="24"/>
        </w:rPr>
        <w:t>（二）</w:t>
      </w:r>
      <w:bookmarkEnd w:id="0"/>
      <w:r>
        <w:rPr>
          <w:rFonts w:hint="eastAsia" w:ascii="宋体" w:hAnsi="宋体"/>
          <w:sz w:val="24"/>
          <w:szCs w:val="24"/>
        </w:rPr>
        <w:t>本次评审采用综合评分法；</w:t>
      </w:r>
    </w:p>
    <w:p>
      <w:pPr>
        <w:spacing w:line="360" w:lineRule="auto"/>
        <w:ind w:left="-21" w:leftChars="-67" w:hanging="120" w:hangingChars="50"/>
        <w:rPr>
          <w:rFonts w:ascii="宋体" w:hAnsi="宋体"/>
          <w:sz w:val="24"/>
          <w:szCs w:val="24"/>
        </w:rPr>
      </w:pPr>
      <w:r>
        <w:rPr>
          <w:rFonts w:hint="eastAsia" w:ascii="宋体" w:hAnsi="宋体"/>
          <w:sz w:val="24"/>
          <w:szCs w:val="24"/>
        </w:rPr>
        <w:t>（三）参评人提交参评文件，由商谈人组织的评标小组对参评人进行打分：</w:t>
      </w:r>
    </w:p>
    <w:p>
      <w:pPr>
        <w:pStyle w:val="6"/>
        <w:numPr>
          <w:ilvl w:val="0"/>
          <w:numId w:val="1"/>
        </w:numPr>
        <w:spacing w:line="360" w:lineRule="auto"/>
        <w:ind w:firstLineChars="0"/>
        <w:rPr>
          <w:rFonts w:ascii="宋体" w:hAnsi="宋体"/>
          <w:sz w:val="24"/>
          <w:szCs w:val="24"/>
        </w:rPr>
      </w:pPr>
      <w:r>
        <w:rPr>
          <w:rFonts w:hint="eastAsia" w:ascii="宋体" w:hAnsi="宋体"/>
          <w:sz w:val="24"/>
          <w:szCs w:val="24"/>
        </w:rPr>
        <w:t>设总分100分；</w:t>
      </w:r>
    </w:p>
    <w:p>
      <w:pPr>
        <w:pStyle w:val="6"/>
        <w:numPr>
          <w:ilvl w:val="0"/>
          <w:numId w:val="1"/>
        </w:numPr>
        <w:spacing w:line="360" w:lineRule="auto"/>
        <w:ind w:firstLineChars="0"/>
        <w:rPr>
          <w:rFonts w:ascii="宋体" w:hAnsi="宋体"/>
          <w:sz w:val="24"/>
          <w:szCs w:val="24"/>
        </w:rPr>
      </w:pPr>
      <w:r>
        <w:rPr>
          <w:rFonts w:hint="eastAsia" w:ascii="宋体" w:hAnsi="宋体"/>
          <w:sz w:val="24"/>
          <w:szCs w:val="24"/>
        </w:rPr>
        <w:t>实力及产品种类多样性：40分，包含公司影响力及品牌实力、企业资信、产品种类等。根据参评人实际情况由评标委员会委员打分。</w:t>
      </w:r>
    </w:p>
    <w:p>
      <w:pPr>
        <w:pStyle w:val="6"/>
        <w:numPr>
          <w:ilvl w:val="0"/>
          <w:numId w:val="1"/>
        </w:numPr>
        <w:spacing w:line="360" w:lineRule="auto"/>
        <w:ind w:firstLineChars="0"/>
        <w:rPr>
          <w:rFonts w:ascii="宋体" w:hAnsi="宋体"/>
          <w:sz w:val="24"/>
          <w:szCs w:val="24"/>
        </w:rPr>
      </w:pPr>
      <w:r>
        <w:rPr>
          <w:rFonts w:ascii="宋体" w:hAnsi="宋体"/>
          <w:sz w:val="24"/>
          <w:szCs w:val="24"/>
        </w:rPr>
        <w:t>服务能力</w:t>
      </w:r>
      <w:r>
        <w:rPr>
          <w:rFonts w:hint="eastAsia" w:ascii="宋体" w:hAnsi="宋体"/>
          <w:sz w:val="24"/>
          <w:szCs w:val="24"/>
        </w:rPr>
        <w:t>分：</w:t>
      </w:r>
      <w:r>
        <w:rPr>
          <w:rFonts w:ascii="宋体" w:hAnsi="宋体"/>
          <w:sz w:val="24"/>
          <w:szCs w:val="24"/>
        </w:rPr>
        <w:t>15</w:t>
      </w:r>
      <w:r>
        <w:rPr>
          <w:rFonts w:hint="eastAsia" w:ascii="宋体" w:hAnsi="宋体"/>
          <w:sz w:val="24"/>
          <w:szCs w:val="24"/>
        </w:rPr>
        <w:t>分  开展项目、专家结构、质量体系、增值服务（物流、信息化、学术）等。根据参评人实际情况由评标委员会委员打分。</w:t>
      </w:r>
    </w:p>
    <w:p>
      <w:pPr>
        <w:pStyle w:val="6"/>
        <w:numPr>
          <w:ilvl w:val="0"/>
          <w:numId w:val="1"/>
        </w:numPr>
        <w:spacing w:line="360" w:lineRule="auto"/>
        <w:ind w:firstLineChars="0"/>
        <w:rPr>
          <w:rFonts w:ascii="宋体" w:hAnsi="宋体"/>
          <w:sz w:val="24"/>
          <w:szCs w:val="24"/>
        </w:rPr>
      </w:pPr>
      <w:r>
        <w:rPr>
          <w:rFonts w:ascii="宋体" w:hAnsi="宋体"/>
          <w:sz w:val="24"/>
          <w:szCs w:val="24"/>
        </w:rPr>
        <w:t>商务、资信及其他</w:t>
      </w:r>
      <w:r>
        <w:rPr>
          <w:rFonts w:hint="eastAsia" w:ascii="宋体" w:hAnsi="宋体"/>
          <w:sz w:val="24"/>
          <w:szCs w:val="24"/>
        </w:rPr>
        <w:t>分：</w:t>
      </w:r>
      <w:r>
        <w:rPr>
          <w:rFonts w:ascii="宋体" w:hAnsi="宋体"/>
          <w:sz w:val="24"/>
          <w:szCs w:val="24"/>
        </w:rPr>
        <w:t>2</w:t>
      </w:r>
      <w:r>
        <w:rPr>
          <w:rFonts w:hint="eastAsia" w:ascii="宋体" w:hAnsi="宋体"/>
          <w:sz w:val="24"/>
          <w:szCs w:val="24"/>
        </w:rPr>
        <w:t>5分  参评份额业绩、社会诚信、标书制作等。根据参评人实际情况由评标委员会委员打分。</w:t>
      </w:r>
    </w:p>
    <w:p>
      <w:pPr>
        <w:pStyle w:val="6"/>
        <w:numPr>
          <w:ilvl w:val="0"/>
          <w:numId w:val="1"/>
        </w:numPr>
        <w:spacing w:line="360" w:lineRule="auto"/>
        <w:ind w:firstLineChars="0"/>
        <w:rPr>
          <w:rFonts w:ascii="宋体" w:hAnsi="宋体"/>
          <w:sz w:val="24"/>
          <w:szCs w:val="24"/>
        </w:rPr>
      </w:pPr>
      <w:r>
        <w:rPr>
          <w:rFonts w:hint="eastAsia" w:ascii="宋体" w:hAnsi="宋体"/>
          <w:sz w:val="24"/>
          <w:szCs w:val="24"/>
        </w:rPr>
        <w:t>价格分：</w:t>
      </w:r>
      <w:r>
        <w:rPr>
          <w:rFonts w:ascii="宋体" w:hAnsi="宋体"/>
          <w:sz w:val="24"/>
          <w:szCs w:val="24"/>
        </w:rPr>
        <w:t>2</w:t>
      </w:r>
      <w:r>
        <w:rPr>
          <w:rFonts w:hint="eastAsia" w:ascii="宋体" w:hAnsi="宋体"/>
          <w:sz w:val="24"/>
          <w:szCs w:val="24"/>
        </w:rPr>
        <w:t>0分：</w:t>
      </w:r>
    </w:p>
    <w:p>
      <w:pPr>
        <w:pStyle w:val="7"/>
        <w:spacing w:before="0" w:beforeAutospacing="0" w:after="0" w:afterAutospacing="0" w:line="360" w:lineRule="auto"/>
        <w:ind w:left="281" w:leftChars="134" w:firstLine="240" w:firstLineChars="100"/>
        <w:rPr>
          <w:rFonts w:cs="Times New Roman"/>
          <w:kern w:val="2"/>
        </w:rPr>
      </w:pPr>
      <w:r>
        <w:rPr>
          <w:rFonts w:hint="eastAsia" w:cs="Times New Roman"/>
          <w:kern w:val="2"/>
        </w:rPr>
        <w:t>根据参评人报价，最低折扣价得20分，其余报价由低到高依次扣2分递减。</w:t>
      </w:r>
    </w:p>
    <w:p>
      <w:pPr>
        <w:pStyle w:val="6"/>
        <w:numPr>
          <w:ilvl w:val="0"/>
          <w:numId w:val="1"/>
        </w:numPr>
        <w:spacing w:line="360" w:lineRule="auto"/>
        <w:ind w:firstLineChars="0"/>
        <w:rPr>
          <w:rFonts w:ascii="宋体" w:hAnsi="宋体"/>
          <w:sz w:val="24"/>
          <w:szCs w:val="24"/>
        </w:rPr>
      </w:pPr>
      <w:r>
        <w:rPr>
          <w:rFonts w:hint="eastAsia" w:ascii="宋体" w:hAnsi="宋体"/>
          <w:sz w:val="24"/>
          <w:szCs w:val="24"/>
        </w:rPr>
        <w:t>中标人判定方法：质量准入后，以总得分最高者中标。出现总得分一致时，由价格分高的单位中标。</w:t>
      </w:r>
    </w:p>
    <w:p>
      <w:pPr>
        <w:pStyle w:val="6"/>
        <w:numPr>
          <w:ilvl w:val="0"/>
          <w:numId w:val="1"/>
        </w:numPr>
        <w:spacing w:line="360" w:lineRule="auto"/>
        <w:ind w:firstLineChars="0"/>
        <w:rPr>
          <w:rFonts w:ascii="宋体" w:hAnsi="宋体"/>
          <w:sz w:val="24"/>
          <w:szCs w:val="24"/>
        </w:rPr>
      </w:pPr>
      <w:r>
        <w:rPr>
          <w:rFonts w:hint="eastAsia" w:ascii="宋体" w:hAnsi="宋体"/>
          <w:sz w:val="24"/>
          <w:szCs w:val="24"/>
        </w:rPr>
        <w:t>中标价：为该中标人的报价。</w:t>
      </w:r>
    </w:p>
    <w:p>
      <w:pPr>
        <w:pStyle w:val="6"/>
        <w:spacing w:line="360" w:lineRule="auto"/>
        <w:ind w:firstLine="0" w:firstLineChars="0"/>
        <w:rPr>
          <w:rFonts w:ascii="宋体" w:hAnsi="宋体"/>
          <w:sz w:val="24"/>
          <w:szCs w:val="24"/>
        </w:rPr>
      </w:pPr>
    </w:p>
    <w:p>
      <w:pPr>
        <w:pStyle w:val="6"/>
        <w:spacing w:line="360" w:lineRule="auto"/>
        <w:ind w:firstLine="0" w:firstLineChars="0"/>
        <w:rPr>
          <w:rFonts w:ascii="宋体" w:hAnsi="宋体"/>
          <w:sz w:val="24"/>
          <w:szCs w:val="24"/>
        </w:rPr>
      </w:pPr>
    </w:p>
    <w:p>
      <w:pPr>
        <w:pStyle w:val="6"/>
        <w:spacing w:line="360" w:lineRule="auto"/>
        <w:ind w:firstLine="0" w:firstLineChars="0"/>
        <w:rPr>
          <w:rFonts w:ascii="宋体" w:hAnsi="宋体"/>
          <w:sz w:val="24"/>
          <w:szCs w:val="24"/>
        </w:rPr>
      </w:pPr>
    </w:p>
    <w:p>
      <w:pPr>
        <w:pStyle w:val="6"/>
        <w:spacing w:line="360" w:lineRule="auto"/>
        <w:ind w:firstLine="0" w:firstLineChars="0"/>
        <w:rPr>
          <w:rFonts w:ascii="宋体" w:hAnsi="宋体"/>
          <w:sz w:val="24"/>
          <w:szCs w:val="24"/>
        </w:rPr>
      </w:pPr>
    </w:p>
    <w:p>
      <w:pPr>
        <w:pStyle w:val="6"/>
        <w:spacing w:line="360" w:lineRule="auto"/>
        <w:ind w:firstLine="0" w:firstLineChars="0"/>
        <w:rPr>
          <w:rFonts w:ascii="宋体" w:hAnsi="宋体"/>
          <w:sz w:val="24"/>
          <w:szCs w:val="24"/>
        </w:rPr>
      </w:pPr>
    </w:p>
    <w:p>
      <w:pPr>
        <w:pStyle w:val="6"/>
        <w:spacing w:line="360" w:lineRule="auto"/>
        <w:ind w:firstLine="0" w:firstLineChars="0"/>
        <w:rPr>
          <w:rFonts w:ascii="宋体" w:hAnsi="宋体"/>
          <w:sz w:val="24"/>
          <w:szCs w:val="24"/>
        </w:rPr>
      </w:pPr>
    </w:p>
    <w:p>
      <w:pPr>
        <w:pStyle w:val="6"/>
        <w:spacing w:line="360" w:lineRule="auto"/>
        <w:ind w:firstLine="0" w:firstLineChars="0"/>
        <w:rPr>
          <w:rFonts w:ascii="宋体" w:hAnsi="宋体"/>
          <w:sz w:val="24"/>
          <w:szCs w:val="24"/>
        </w:rPr>
      </w:pPr>
    </w:p>
    <w:p>
      <w:pPr>
        <w:pStyle w:val="6"/>
        <w:spacing w:line="360" w:lineRule="auto"/>
        <w:ind w:firstLine="0" w:firstLineChars="0"/>
        <w:rPr>
          <w:rFonts w:ascii="宋体" w:hAnsi="宋体"/>
          <w:sz w:val="24"/>
          <w:szCs w:val="24"/>
        </w:rPr>
      </w:pPr>
    </w:p>
    <w:p>
      <w:pPr>
        <w:pStyle w:val="6"/>
        <w:spacing w:line="360" w:lineRule="auto"/>
        <w:ind w:firstLine="0" w:firstLineChars="0"/>
        <w:rPr>
          <w:rFonts w:ascii="宋体" w:hAnsi="宋体"/>
          <w:sz w:val="24"/>
          <w:szCs w:val="24"/>
        </w:rPr>
      </w:pPr>
    </w:p>
    <w:p>
      <w:pPr>
        <w:pStyle w:val="6"/>
        <w:spacing w:line="360" w:lineRule="auto"/>
        <w:ind w:firstLine="0" w:firstLineChars="0"/>
        <w:rPr>
          <w:rFonts w:ascii="宋体" w:hAnsi="宋体"/>
          <w:sz w:val="24"/>
          <w:szCs w:val="24"/>
        </w:rPr>
      </w:pPr>
    </w:p>
    <w:p>
      <w:pPr>
        <w:pStyle w:val="6"/>
        <w:spacing w:line="360" w:lineRule="auto"/>
        <w:ind w:firstLine="0" w:firstLineChars="0"/>
        <w:rPr>
          <w:rFonts w:ascii="宋体" w:hAnsi="宋体"/>
          <w:sz w:val="24"/>
          <w:szCs w:val="24"/>
        </w:rPr>
      </w:pPr>
    </w:p>
    <w:p>
      <w:pPr>
        <w:pStyle w:val="6"/>
        <w:spacing w:line="360" w:lineRule="auto"/>
        <w:ind w:firstLine="0" w:firstLineChars="0"/>
        <w:rPr>
          <w:rFonts w:ascii="宋体" w:hAnsi="宋体"/>
          <w:sz w:val="24"/>
          <w:szCs w:val="24"/>
        </w:rPr>
      </w:pPr>
    </w:p>
    <w:tbl>
      <w:tblPr>
        <w:tblStyle w:val="5"/>
        <w:tblpPr w:leftFromText="180" w:rightFromText="180" w:vertAnchor="text" w:horzAnchor="page" w:tblpX="1241" w:tblpY="456"/>
        <w:tblOverlap w:val="never"/>
        <w:tblW w:w="10238" w:type="dxa"/>
        <w:tblCellSpacing w:w="0" w:type="dxa"/>
        <w:tblInd w:w="0" w:type="dxa"/>
        <w:tblLayout w:type="fixed"/>
        <w:tblCellMar>
          <w:top w:w="0" w:type="dxa"/>
          <w:left w:w="0" w:type="dxa"/>
          <w:bottom w:w="0" w:type="dxa"/>
          <w:right w:w="0" w:type="dxa"/>
        </w:tblCellMar>
      </w:tblPr>
      <w:tblGrid>
        <w:gridCol w:w="906"/>
        <w:gridCol w:w="1604"/>
        <w:gridCol w:w="787"/>
        <w:gridCol w:w="6941"/>
      </w:tblGrid>
      <w:tr>
        <w:tblPrEx>
          <w:tblLayout w:type="fixed"/>
          <w:tblCellMar>
            <w:top w:w="0" w:type="dxa"/>
            <w:left w:w="0" w:type="dxa"/>
            <w:bottom w:w="0" w:type="dxa"/>
            <w:right w:w="0" w:type="dxa"/>
          </w:tblCellMar>
        </w:tblPrEx>
        <w:trPr>
          <w:trHeight w:val="745" w:hRule="atLeast"/>
          <w:tblCellSpacing w:w="0" w:type="dxa"/>
        </w:trPr>
        <w:tc>
          <w:tcPr>
            <w:tcW w:w="10238" w:type="dxa"/>
            <w:gridSpan w:val="4"/>
            <w:tcMar>
              <w:top w:w="0" w:type="dxa"/>
              <w:left w:w="450" w:type="dxa"/>
              <w:bottom w:w="0" w:type="dxa"/>
              <w:right w:w="75" w:type="dxa"/>
            </w:tcMar>
            <w:vAlign w:val="center"/>
          </w:tcPr>
          <w:p>
            <w:pPr>
              <w:widowControl/>
              <w:spacing w:before="100" w:beforeAutospacing="1" w:after="100" w:afterAutospacing="1"/>
              <w:jc w:val="center"/>
              <w:rPr>
                <w:rFonts w:ascii="仿宋" w:hAnsi="仿宋" w:eastAsia="仿宋" w:cs="仿宋"/>
                <w:b/>
                <w:kern w:val="0"/>
                <w:szCs w:val="18"/>
              </w:rPr>
            </w:pPr>
            <w:r>
              <w:rPr>
                <w:rFonts w:hint="eastAsia" w:ascii="仿宋" w:hAnsi="仿宋" w:eastAsia="仿宋" w:cs="仿宋"/>
                <w:b/>
                <w:kern w:val="0"/>
                <w:sz w:val="32"/>
                <w:szCs w:val="1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blCellSpacing w:w="0" w:type="dxa"/>
        </w:trPr>
        <w:tc>
          <w:tcPr>
            <w:tcW w:w="906" w:type="dxa"/>
            <w:vAlign w:val="center"/>
          </w:tcPr>
          <w:p>
            <w:pPr>
              <w:jc w:val="center"/>
              <w:rPr>
                <w:rFonts w:ascii="仿宋" w:hAnsi="仿宋" w:eastAsia="仿宋" w:cs="仿宋"/>
                <w:sz w:val="24"/>
                <w:szCs w:val="24"/>
              </w:rPr>
            </w:pPr>
            <w:r>
              <w:rPr>
                <w:rFonts w:hint="eastAsia" w:ascii="仿宋" w:hAnsi="仿宋" w:eastAsia="仿宋" w:cs="仿宋"/>
                <w:sz w:val="24"/>
                <w:szCs w:val="24"/>
              </w:rPr>
              <w:t>序号</w:t>
            </w:r>
          </w:p>
        </w:tc>
        <w:tc>
          <w:tcPr>
            <w:tcW w:w="1604" w:type="dxa"/>
            <w:vAlign w:val="center"/>
          </w:tcPr>
          <w:p>
            <w:pPr>
              <w:jc w:val="center"/>
              <w:rPr>
                <w:rFonts w:ascii="仿宋" w:hAnsi="仿宋" w:eastAsia="仿宋" w:cs="仿宋"/>
                <w:sz w:val="24"/>
                <w:szCs w:val="24"/>
              </w:rPr>
            </w:pPr>
            <w:r>
              <w:rPr>
                <w:rFonts w:hint="eastAsia" w:ascii="仿宋" w:hAnsi="仿宋" w:eastAsia="仿宋" w:cs="仿宋"/>
                <w:sz w:val="24"/>
                <w:szCs w:val="24"/>
              </w:rPr>
              <w:t>项目</w:t>
            </w:r>
          </w:p>
        </w:tc>
        <w:tc>
          <w:tcPr>
            <w:tcW w:w="787" w:type="dxa"/>
            <w:vAlign w:val="center"/>
          </w:tcPr>
          <w:p>
            <w:pPr>
              <w:jc w:val="center"/>
              <w:rPr>
                <w:rFonts w:ascii="仿宋" w:hAnsi="仿宋" w:eastAsia="仿宋" w:cs="仿宋"/>
                <w:sz w:val="24"/>
                <w:szCs w:val="24"/>
              </w:rPr>
            </w:pPr>
            <w:r>
              <w:rPr>
                <w:rFonts w:hint="eastAsia" w:ascii="仿宋" w:hAnsi="仿宋" w:eastAsia="仿宋" w:cs="仿宋"/>
                <w:sz w:val="24"/>
                <w:szCs w:val="24"/>
              </w:rPr>
              <w:t>分值</w:t>
            </w:r>
          </w:p>
        </w:tc>
        <w:tc>
          <w:tcPr>
            <w:tcW w:w="6941" w:type="dxa"/>
            <w:vAlign w:val="center"/>
          </w:tcPr>
          <w:p>
            <w:pPr>
              <w:ind w:right="252" w:rightChars="120"/>
              <w:jc w:val="center"/>
              <w:rPr>
                <w:rFonts w:ascii="仿宋" w:hAnsi="仿宋" w:eastAsia="仿宋" w:cs="仿宋"/>
                <w:sz w:val="24"/>
                <w:szCs w:val="24"/>
              </w:rPr>
            </w:pPr>
            <w:r>
              <w:rPr>
                <w:rFonts w:hint="eastAsia" w:ascii="仿宋" w:hAnsi="仿宋" w:eastAsia="仿宋" w:cs="仿宋"/>
                <w:sz w:val="24"/>
                <w:szCs w:val="24"/>
              </w:rPr>
              <w:t>评分内容、方法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CellSpacing w:w="0" w:type="dxa"/>
        </w:trPr>
        <w:tc>
          <w:tcPr>
            <w:tcW w:w="906"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1</w:t>
            </w:r>
          </w:p>
        </w:tc>
        <w:tc>
          <w:tcPr>
            <w:tcW w:w="1604"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价格20分</w:t>
            </w:r>
          </w:p>
        </w:tc>
        <w:tc>
          <w:tcPr>
            <w:tcW w:w="787"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20</w:t>
            </w:r>
          </w:p>
        </w:tc>
        <w:tc>
          <w:tcPr>
            <w:tcW w:w="6941" w:type="dxa"/>
            <w:vAlign w:val="center"/>
          </w:tcPr>
          <w:p>
            <w:pPr>
              <w:spacing w:line="400" w:lineRule="exact"/>
              <w:rPr>
                <w:rFonts w:ascii="仿宋" w:hAnsi="仿宋" w:eastAsia="仿宋" w:cs="仿宋"/>
                <w:sz w:val="24"/>
                <w:szCs w:val="24"/>
              </w:rPr>
            </w:pPr>
            <w:r>
              <w:rPr>
                <w:rFonts w:hint="eastAsia" w:ascii="仿宋" w:hAnsi="仿宋" w:eastAsia="仿宋" w:cs="仿宋"/>
                <w:sz w:val="24"/>
                <w:szCs w:val="24"/>
              </w:rPr>
              <w:t>满分20分，报价区间30%-80%扣率，超过区间需要出具价格合理性证明。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CellSpacing w:w="0" w:type="dxa"/>
        </w:trPr>
        <w:tc>
          <w:tcPr>
            <w:tcW w:w="906"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2</w:t>
            </w:r>
          </w:p>
        </w:tc>
        <w:tc>
          <w:tcPr>
            <w:tcW w:w="1604" w:type="dxa"/>
            <w:vMerge w:val="restart"/>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商务资质25分</w:t>
            </w:r>
          </w:p>
        </w:tc>
        <w:tc>
          <w:tcPr>
            <w:tcW w:w="787" w:type="dxa"/>
            <w:vAlign w:val="center"/>
          </w:tcPr>
          <w:p>
            <w:pPr>
              <w:spacing w:line="4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15</w:t>
            </w:r>
          </w:p>
        </w:tc>
        <w:tc>
          <w:tcPr>
            <w:tcW w:w="6941" w:type="dxa"/>
          </w:tcPr>
          <w:p>
            <w:pPr>
              <w:spacing w:line="400" w:lineRule="exact"/>
              <w:rPr>
                <w:rFonts w:ascii="仿宋" w:hAnsi="仿宋" w:eastAsia="仿宋" w:cs="仿宋"/>
                <w:sz w:val="24"/>
                <w:szCs w:val="24"/>
              </w:rPr>
            </w:pPr>
            <w:r>
              <w:rPr>
                <w:rFonts w:hint="eastAsia" w:ascii="仿宋" w:hAnsi="仿宋" w:eastAsia="仿宋" w:cs="仿宋"/>
                <w:sz w:val="24"/>
                <w:szCs w:val="24"/>
              </w:rPr>
              <w:t>公司影响力及品牌实力，提供企业资信资料，包括公司三证、经营范围、注册资金、企业信用等级、上市公司证明等。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blCellSpacing w:w="0" w:type="dxa"/>
        </w:trPr>
        <w:tc>
          <w:tcPr>
            <w:tcW w:w="906"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3</w:t>
            </w:r>
          </w:p>
        </w:tc>
        <w:tc>
          <w:tcPr>
            <w:tcW w:w="1604" w:type="dxa"/>
            <w:vMerge w:val="continue"/>
            <w:vAlign w:val="center"/>
          </w:tcPr>
          <w:p>
            <w:pPr>
              <w:spacing w:line="400" w:lineRule="exact"/>
              <w:jc w:val="center"/>
              <w:rPr>
                <w:rFonts w:ascii="仿宋" w:hAnsi="仿宋" w:eastAsia="仿宋" w:cs="仿宋"/>
                <w:sz w:val="24"/>
                <w:szCs w:val="24"/>
              </w:rPr>
            </w:pPr>
          </w:p>
        </w:tc>
        <w:tc>
          <w:tcPr>
            <w:tcW w:w="787"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5</w:t>
            </w:r>
          </w:p>
        </w:tc>
        <w:tc>
          <w:tcPr>
            <w:tcW w:w="6941" w:type="dxa"/>
          </w:tcPr>
          <w:p>
            <w:pPr>
              <w:spacing w:line="400" w:lineRule="exact"/>
              <w:rPr>
                <w:rFonts w:ascii="仿宋" w:hAnsi="仿宋" w:eastAsia="仿宋" w:cs="仿宋"/>
                <w:sz w:val="24"/>
                <w:szCs w:val="24"/>
              </w:rPr>
            </w:pPr>
            <w:r>
              <w:rPr>
                <w:rFonts w:hint="eastAsia" w:ascii="仿宋" w:hAnsi="仿宋" w:eastAsia="仿宋" w:cs="仿宋"/>
                <w:sz w:val="24"/>
                <w:szCs w:val="24"/>
              </w:rPr>
              <w:t>三年内存在不良行为的，扣5分；未出现不良记录的得满分。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CellSpacing w:w="0" w:type="dxa"/>
        </w:trPr>
        <w:tc>
          <w:tcPr>
            <w:tcW w:w="906" w:type="dxa"/>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p>
        </w:tc>
        <w:tc>
          <w:tcPr>
            <w:tcW w:w="1604" w:type="dxa"/>
            <w:vMerge w:val="continue"/>
            <w:vAlign w:val="center"/>
          </w:tcPr>
          <w:p>
            <w:pPr>
              <w:spacing w:line="400" w:lineRule="exact"/>
              <w:jc w:val="center"/>
              <w:rPr>
                <w:rFonts w:ascii="仿宋" w:hAnsi="仿宋" w:eastAsia="仿宋" w:cs="仿宋"/>
                <w:sz w:val="24"/>
                <w:szCs w:val="24"/>
              </w:rPr>
            </w:pPr>
          </w:p>
        </w:tc>
        <w:tc>
          <w:tcPr>
            <w:tcW w:w="787"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5</w:t>
            </w:r>
          </w:p>
        </w:tc>
        <w:tc>
          <w:tcPr>
            <w:tcW w:w="6941" w:type="dxa"/>
          </w:tcPr>
          <w:p>
            <w:pPr>
              <w:spacing w:line="400" w:lineRule="exact"/>
              <w:rPr>
                <w:rFonts w:ascii="仿宋" w:hAnsi="仿宋" w:eastAsia="仿宋" w:cs="仿宋"/>
                <w:sz w:val="24"/>
                <w:szCs w:val="24"/>
              </w:rPr>
            </w:pPr>
            <w:r>
              <w:rPr>
                <w:rFonts w:hint="eastAsia" w:ascii="仿宋" w:hAnsi="仿宋" w:eastAsia="仿宋" w:cs="仿宋"/>
                <w:sz w:val="24"/>
                <w:szCs w:val="24"/>
              </w:rPr>
              <w:t>标书编排有序、装订整齐、书面整洁、内容翔实，参评文件的封面加盖公章，得5分。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CellSpacing w:w="0" w:type="dxa"/>
        </w:trPr>
        <w:tc>
          <w:tcPr>
            <w:tcW w:w="906" w:type="dxa"/>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p>
        </w:tc>
        <w:tc>
          <w:tcPr>
            <w:tcW w:w="1604" w:type="dxa"/>
            <w:vMerge w:val="restart"/>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产品种类多样化40分</w:t>
            </w:r>
          </w:p>
        </w:tc>
        <w:tc>
          <w:tcPr>
            <w:tcW w:w="787"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30</w:t>
            </w:r>
          </w:p>
        </w:tc>
        <w:tc>
          <w:tcPr>
            <w:tcW w:w="6941" w:type="dxa"/>
          </w:tcPr>
          <w:p>
            <w:pPr>
              <w:spacing w:line="400" w:lineRule="exact"/>
              <w:rPr>
                <w:rFonts w:ascii="仿宋" w:hAnsi="仿宋" w:eastAsia="仿宋" w:cs="仿宋"/>
                <w:sz w:val="24"/>
                <w:szCs w:val="24"/>
              </w:rPr>
            </w:pPr>
            <w:r>
              <w:rPr>
                <w:rFonts w:hint="eastAsia" w:ascii="仿宋" w:hAnsi="仿宋" w:eastAsia="仿宋" w:cs="仿宋"/>
                <w:sz w:val="24"/>
                <w:szCs w:val="24"/>
              </w:rPr>
              <w:t>产品种类贴合列表需求30分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CellSpacing w:w="0" w:type="dxa"/>
        </w:trPr>
        <w:tc>
          <w:tcPr>
            <w:tcW w:w="906" w:type="dxa"/>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6</w:t>
            </w:r>
          </w:p>
        </w:tc>
        <w:tc>
          <w:tcPr>
            <w:tcW w:w="1604" w:type="dxa"/>
            <w:vMerge w:val="continue"/>
            <w:vAlign w:val="center"/>
          </w:tcPr>
          <w:p>
            <w:pPr>
              <w:spacing w:line="400" w:lineRule="exact"/>
              <w:jc w:val="center"/>
              <w:rPr>
                <w:rFonts w:ascii="仿宋" w:hAnsi="仿宋" w:eastAsia="仿宋" w:cs="仿宋"/>
                <w:sz w:val="24"/>
                <w:szCs w:val="24"/>
              </w:rPr>
            </w:pPr>
          </w:p>
        </w:tc>
        <w:tc>
          <w:tcPr>
            <w:tcW w:w="787"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10</w:t>
            </w:r>
          </w:p>
        </w:tc>
        <w:tc>
          <w:tcPr>
            <w:tcW w:w="6941" w:type="dxa"/>
          </w:tcPr>
          <w:p>
            <w:pPr>
              <w:spacing w:line="400" w:lineRule="exact"/>
              <w:rPr>
                <w:rFonts w:ascii="仿宋" w:hAnsi="仿宋" w:eastAsia="仿宋" w:cs="仿宋"/>
                <w:sz w:val="24"/>
                <w:szCs w:val="24"/>
              </w:rPr>
            </w:pPr>
            <w:r>
              <w:rPr>
                <w:rFonts w:hint="eastAsia" w:ascii="仿宋" w:hAnsi="仿宋" w:eastAsia="仿宋" w:cs="仿宋"/>
                <w:sz w:val="24"/>
                <w:szCs w:val="24"/>
              </w:rPr>
              <w:t>第一部分产品种类要求中每偏离一项扣5分。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CellSpacing w:w="0" w:type="dxa"/>
        </w:trPr>
        <w:tc>
          <w:tcPr>
            <w:tcW w:w="906" w:type="dxa"/>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7</w:t>
            </w:r>
          </w:p>
        </w:tc>
        <w:tc>
          <w:tcPr>
            <w:tcW w:w="1604" w:type="dxa"/>
            <w:vMerge w:val="restart"/>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 xml:space="preserve">质量保障和服务能力15分 </w:t>
            </w:r>
          </w:p>
          <w:p>
            <w:pPr>
              <w:spacing w:line="400" w:lineRule="exact"/>
              <w:jc w:val="center"/>
              <w:rPr>
                <w:rFonts w:ascii="仿宋" w:hAnsi="仿宋" w:eastAsia="仿宋" w:cs="仿宋"/>
                <w:sz w:val="24"/>
                <w:szCs w:val="24"/>
              </w:rPr>
            </w:pPr>
          </w:p>
        </w:tc>
        <w:tc>
          <w:tcPr>
            <w:tcW w:w="787"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5</w:t>
            </w:r>
          </w:p>
        </w:tc>
        <w:tc>
          <w:tcPr>
            <w:tcW w:w="6941" w:type="dxa"/>
            <w:vAlign w:val="center"/>
          </w:tcPr>
          <w:p>
            <w:pPr>
              <w:spacing w:line="400" w:lineRule="exact"/>
              <w:rPr>
                <w:rFonts w:ascii="仿宋" w:hAnsi="仿宋" w:eastAsia="仿宋" w:cs="仿宋"/>
                <w:sz w:val="24"/>
                <w:szCs w:val="24"/>
              </w:rPr>
            </w:pPr>
            <w:r>
              <w:rPr>
                <w:rFonts w:hint="eastAsia" w:ascii="仿宋" w:hAnsi="仿宋" w:eastAsia="仿宋" w:cs="仿宋"/>
                <w:sz w:val="24"/>
                <w:szCs w:val="24"/>
              </w:rPr>
              <w:t>各参评方提供本单位的服务承诺在服务能力和质量上能显示特色、优势的项目或具体做法。根据方案的完善程度评分0-5分。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CellSpacing w:w="0" w:type="dxa"/>
        </w:trPr>
        <w:tc>
          <w:tcPr>
            <w:tcW w:w="906" w:type="dxa"/>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8</w:t>
            </w:r>
          </w:p>
        </w:tc>
        <w:tc>
          <w:tcPr>
            <w:tcW w:w="1604" w:type="dxa"/>
            <w:vMerge w:val="continue"/>
            <w:vAlign w:val="center"/>
          </w:tcPr>
          <w:p>
            <w:pPr>
              <w:spacing w:line="400" w:lineRule="exact"/>
              <w:jc w:val="center"/>
              <w:rPr>
                <w:rFonts w:ascii="仿宋" w:hAnsi="仿宋" w:eastAsia="仿宋" w:cs="仿宋"/>
                <w:sz w:val="24"/>
                <w:szCs w:val="24"/>
              </w:rPr>
            </w:pPr>
          </w:p>
        </w:tc>
        <w:tc>
          <w:tcPr>
            <w:tcW w:w="787"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5</w:t>
            </w:r>
          </w:p>
        </w:tc>
        <w:tc>
          <w:tcPr>
            <w:tcW w:w="6941" w:type="dxa"/>
            <w:vAlign w:val="center"/>
          </w:tcPr>
          <w:p>
            <w:pPr>
              <w:spacing w:line="400" w:lineRule="exact"/>
              <w:rPr>
                <w:rFonts w:ascii="仿宋" w:hAnsi="仿宋" w:eastAsia="仿宋" w:cs="仿宋"/>
                <w:sz w:val="24"/>
                <w:szCs w:val="24"/>
              </w:rPr>
            </w:pPr>
            <w:r>
              <w:rPr>
                <w:rFonts w:hint="eastAsia" w:ascii="仿宋" w:hAnsi="仿宋" w:eastAsia="仿宋" w:cs="仿宋"/>
                <w:color w:val="333333"/>
                <w:kern w:val="0"/>
                <w:sz w:val="24"/>
                <w:szCs w:val="24"/>
              </w:rPr>
              <w:t>确保检测结果传递的及时性。根据方案的完善性及可行性，优4-5分、良2-3分，一般0-1分。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CellSpacing w:w="0" w:type="dxa"/>
        </w:trPr>
        <w:tc>
          <w:tcPr>
            <w:tcW w:w="906" w:type="dxa"/>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9</w:t>
            </w:r>
          </w:p>
        </w:tc>
        <w:tc>
          <w:tcPr>
            <w:tcW w:w="1604" w:type="dxa"/>
            <w:vMerge w:val="continue"/>
            <w:vAlign w:val="center"/>
          </w:tcPr>
          <w:p>
            <w:pPr>
              <w:spacing w:line="400" w:lineRule="exact"/>
              <w:jc w:val="center"/>
              <w:rPr>
                <w:rFonts w:ascii="仿宋" w:hAnsi="仿宋" w:eastAsia="仿宋" w:cs="仿宋"/>
                <w:sz w:val="24"/>
                <w:szCs w:val="24"/>
              </w:rPr>
            </w:pPr>
          </w:p>
        </w:tc>
        <w:tc>
          <w:tcPr>
            <w:tcW w:w="787"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5</w:t>
            </w:r>
          </w:p>
        </w:tc>
        <w:tc>
          <w:tcPr>
            <w:tcW w:w="6941" w:type="dxa"/>
            <w:vAlign w:val="center"/>
          </w:tcPr>
          <w:p>
            <w:pPr>
              <w:spacing w:line="400" w:lineRule="exact"/>
              <w:rPr>
                <w:rFonts w:ascii="仿宋" w:hAnsi="仿宋" w:eastAsia="仿宋" w:cs="仿宋"/>
                <w:sz w:val="24"/>
                <w:szCs w:val="24"/>
              </w:rPr>
            </w:pPr>
            <w:r>
              <w:rPr>
                <w:rFonts w:hint="eastAsia" w:ascii="仿宋" w:hAnsi="仿宋" w:eastAsia="仿宋" w:cs="仿宋"/>
                <w:sz w:val="24"/>
                <w:szCs w:val="24"/>
              </w:rPr>
              <w:t>提供负责本项目的服务团队实力，根据情况给分。需提供主要参考技术人员组成、社保证明、相关经验履历情况、职称证书等。</w:t>
            </w:r>
            <w:r>
              <w:rPr>
                <w:rFonts w:hint="eastAsia" w:ascii="仿宋" w:hAnsi="仿宋" w:eastAsia="仿宋" w:cs="仿宋"/>
                <w:color w:val="333333"/>
                <w:kern w:val="0"/>
                <w:sz w:val="24"/>
                <w:szCs w:val="24"/>
              </w:rPr>
              <w:t>优4-5分、良2-3分，一般0-1分。</w:t>
            </w:r>
            <w:r>
              <w:rPr>
                <w:rFonts w:hint="eastAsia" w:ascii="仿宋" w:hAnsi="仿宋" w:eastAsia="仿宋" w:cs="仿宋"/>
                <w:sz w:val="24"/>
                <w:szCs w:val="24"/>
              </w:rPr>
              <w:t>（不提供社保证明材料者不得分）。</w:t>
            </w:r>
          </w:p>
        </w:tc>
      </w:tr>
    </w:tbl>
    <w:p>
      <w:pPr>
        <w:pStyle w:val="6"/>
        <w:spacing w:line="360" w:lineRule="auto"/>
        <w:ind w:firstLine="0" w:firstLineChars="0"/>
        <w:rPr>
          <w:rFonts w:ascii="宋体" w:hAnsi="宋体"/>
          <w:sz w:val="24"/>
          <w:szCs w:val="24"/>
        </w:rPr>
      </w:pPr>
    </w:p>
    <w:p>
      <w:pPr>
        <w:pStyle w:val="6"/>
        <w:spacing w:line="360" w:lineRule="auto"/>
        <w:ind w:firstLine="0" w:firstLineChars="0"/>
        <w:rPr>
          <w:rFonts w:ascii="Times New Roman" w:hAnsi="Times New Roman"/>
          <w:sz w:val="24"/>
          <w:szCs w:val="28"/>
        </w:rPr>
      </w:pPr>
      <w:r>
        <w:rPr>
          <w:rFonts w:ascii="Times New Roman" w:hAnsi="Times New Roman"/>
          <w:sz w:val="24"/>
          <w:szCs w:val="24"/>
        </w:rPr>
        <w:t xml:space="preserve"> </w:t>
      </w:r>
    </w:p>
    <w:p>
      <w:pPr>
        <w:pStyle w:val="6"/>
        <w:spacing w:line="360" w:lineRule="auto"/>
        <w:ind w:firstLine="0" w:firstLineChars="0"/>
        <w:rPr>
          <w:rFonts w:ascii="宋体" w:hAnsi="宋体"/>
          <w:sz w:val="24"/>
          <w:szCs w:val="24"/>
        </w:rPr>
      </w:pPr>
      <w:r>
        <w:rPr>
          <w:rFonts w:hint="eastAsia" w:ascii="宋体" w:hAnsi="宋体"/>
          <w:sz w:val="24"/>
          <w:szCs w:val="30"/>
        </w:rPr>
        <w:t>评标根据上述原则综合评价出中标最高得分方案，并依据确定的定标程序选出中标方。</w:t>
      </w:r>
    </w:p>
    <w:p>
      <w:pPr>
        <w:spacing w:line="480" w:lineRule="auto"/>
        <w:rPr>
          <w:rFonts w:ascii="宋体" w:hAnsi="宋体"/>
          <w:b/>
          <w:bCs/>
          <w:sz w:val="24"/>
          <w:szCs w:val="30"/>
          <w:u w:val="single"/>
        </w:rPr>
      </w:pPr>
      <w:r>
        <w:rPr>
          <w:rFonts w:hint="eastAsia" w:ascii="宋体" w:hAnsi="宋体"/>
          <w:b/>
          <w:bCs/>
          <w:sz w:val="24"/>
          <w:szCs w:val="30"/>
        </w:rPr>
        <w:t>18·</w:t>
      </w:r>
      <w:r>
        <w:rPr>
          <w:rFonts w:hint="eastAsia" w:ascii="宋体" w:hAnsi="宋体"/>
          <w:sz w:val="24"/>
          <w:szCs w:val="30"/>
        </w:rPr>
        <w:t xml:space="preserve">  </w:t>
      </w:r>
      <w:r>
        <w:rPr>
          <w:rFonts w:hint="eastAsia" w:ascii="宋体" w:hAnsi="宋体"/>
          <w:b/>
          <w:bCs/>
          <w:sz w:val="24"/>
          <w:szCs w:val="30"/>
          <w:u w:val="single"/>
        </w:rPr>
        <w:t>评标影响因素</w:t>
      </w:r>
    </w:p>
    <w:p>
      <w:pPr>
        <w:spacing w:line="300" w:lineRule="auto"/>
        <w:rPr>
          <w:rFonts w:ascii="宋体" w:hAnsi="宋体"/>
          <w:sz w:val="24"/>
          <w:szCs w:val="30"/>
        </w:rPr>
      </w:pPr>
      <w:r>
        <w:rPr>
          <w:rFonts w:hint="eastAsia" w:ascii="宋体" w:hAnsi="宋体"/>
          <w:b/>
          <w:bCs/>
          <w:sz w:val="24"/>
          <w:szCs w:val="30"/>
        </w:rPr>
        <w:t>18．1</w:t>
      </w:r>
      <w:r>
        <w:rPr>
          <w:rFonts w:hint="eastAsia" w:ascii="宋体" w:hAnsi="宋体"/>
          <w:sz w:val="24"/>
          <w:szCs w:val="30"/>
        </w:rPr>
        <w:t>在评标期间，参评方企图影响商谈方的任何活动，将导致参评被拒绝，并承担相应的法律责任。</w:t>
      </w:r>
    </w:p>
    <w:p>
      <w:pPr>
        <w:spacing w:line="480" w:lineRule="auto"/>
        <w:rPr>
          <w:rFonts w:ascii="宋体" w:hAnsi="宋体"/>
          <w:b/>
          <w:bCs/>
          <w:sz w:val="24"/>
          <w:szCs w:val="30"/>
          <w:u w:val="single"/>
        </w:rPr>
      </w:pPr>
      <w:r>
        <w:rPr>
          <w:rFonts w:hint="eastAsia" w:ascii="宋体" w:hAnsi="宋体"/>
          <w:b/>
          <w:bCs/>
          <w:sz w:val="24"/>
          <w:szCs w:val="30"/>
        </w:rPr>
        <w:t>19·</w:t>
      </w:r>
      <w:r>
        <w:rPr>
          <w:rFonts w:hint="eastAsia" w:ascii="宋体" w:hAnsi="宋体"/>
          <w:sz w:val="24"/>
          <w:szCs w:val="30"/>
        </w:rPr>
        <w:t xml:space="preserve"> </w:t>
      </w:r>
      <w:r>
        <w:rPr>
          <w:rFonts w:hint="eastAsia" w:ascii="宋体" w:hAnsi="宋体"/>
          <w:b/>
          <w:bCs/>
          <w:sz w:val="24"/>
          <w:szCs w:val="30"/>
          <w:u w:val="single"/>
        </w:rPr>
        <w:t xml:space="preserve"> 参评日期、地点</w:t>
      </w:r>
    </w:p>
    <w:p>
      <w:pPr>
        <w:tabs>
          <w:tab w:val="left" w:pos="210"/>
        </w:tabs>
        <w:spacing w:line="360" w:lineRule="auto"/>
        <w:ind w:left="720" w:leftChars="343"/>
        <w:rPr>
          <w:rFonts w:ascii="宋体" w:hAnsi="宋体"/>
          <w:color w:val="000000"/>
          <w:sz w:val="24"/>
          <w:szCs w:val="30"/>
        </w:rPr>
      </w:pPr>
      <w:r>
        <w:rPr>
          <w:rFonts w:hint="eastAsia" w:ascii="宋体" w:hAnsi="宋体"/>
          <w:color w:val="000000"/>
          <w:sz w:val="24"/>
          <w:szCs w:val="30"/>
        </w:rPr>
        <w:t>参评文件应按本商谈文件要求于</w:t>
      </w:r>
      <w:r>
        <w:rPr>
          <w:rFonts w:hint="eastAsia" w:ascii="宋体" w:hAnsi="宋体"/>
          <w:color w:val="000000"/>
          <w:sz w:val="24"/>
          <w:szCs w:val="30"/>
          <w:u w:val="single"/>
        </w:rPr>
        <w:t xml:space="preserve"> 2020</w:t>
      </w:r>
      <w:r>
        <w:rPr>
          <w:rFonts w:hint="eastAsia" w:ascii="宋体" w:hAnsi="宋体"/>
          <w:color w:val="000000"/>
          <w:sz w:val="24"/>
          <w:szCs w:val="30"/>
        </w:rPr>
        <w:t>年</w:t>
      </w:r>
      <w:r>
        <w:rPr>
          <w:rFonts w:hint="eastAsia" w:ascii="宋体" w:hAnsi="宋体"/>
          <w:color w:val="000000"/>
          <w:sz w:val="24"/>
          <w:szCs w:val="30"/>
          <w:u w:val="single"/>
        </w:rPr>
        <w:t xml:space="preserve">   </w:t>
      </w:r>
      <w:r>
        <w:rPr>
          <w:rFonts w:hint="eastAsia" w:ascii="宋体" w:hAnsi="宋体"/>
          <w:color w:val="000000"/>
          <w:sz w:val="24"/>
          <w:szCs w:val="30"/>
        </w:rPr>
        <w:t>月</w:t>
      </w:r>
      <w:r>
        <w:rPr>
          <w:rFonts w:hint="eastAsia" w:ascii="宋体" w:hAnsi="宋体"/>
          <w:color w:val="000000"/>
          <w:sz w:val="24"/>
          <w:szCs w:val="30"/>
          <w:u w:val="single"/>
        </w:rPr>
        <w:t xml:space="preserve">    </w:t>
      </w:r>
      <w:r>
        <w:rPr>
          <w:rFonts w:hint="eastAsia" w:ascii="宋体" w:hAnsi="宋体"/>
          <w:color w:val="000000"/>
          <w:sz w:val="24"/>
          <w:szCs w:val="30"/>
        </w:rPr>
        <w:t>日</w:t>
      </w:r>
      <w:r>
        <w:rPr>
          <w:rFonts w:hint="eastAsia" w:ascii="宋体" w:hAnsi="宋体"/>
          <w:color w:val="000000"/>
          <w:sz w:val="24"/>
          <w:szCs w:val="30"/>
          <w:u w:val="single"/>
        </w:rPr>
        <w:t xml:space="preserve">     </w:t>
      </w:r>
      <w:r>
        <w:rPr>
          <w:rFonts w:hint="eastAsia" w:ascii="宋体" w:hAnsi="宋体"/>
          <w:color w:val="000000"/>
          <w:sz w:val="24"/>
          <w:szCs w:val="30"/>
        </w:rPr>
        <w:t>时（北京时间）前投送至                   。</w:t>
      </w:r>
    </w:p>
    <w:p>
      <w:pPr>
        <w:tabs>
          <w:tab w:val="left" w:pos="210"/>
        </w:tabs>
        <w:spacing w:line="360" w:lineRule="auto"/>
        <w:ind w:left="241" w:leftChars="115" w:firstLine="480" w:firstLineChars="200"/>
        <w:rPr>
          <w:rFonts w:ascii="宋体" w:hAnsi="宋体"/>
          <w:sz w:val="24"/>
          <w:szCs w:val="30"/>
        </w:rPr>
      </w:pPr>
      <w:r>
        <w:rPr>
          <w:rFonts w:hint="eastAsia" w:ascii="宋体" w:hAnsi="宋体"/>
          <w:sz w:val="24"/>
          <w:szCs w:val="30"/>
        </w:rPr>
        <w:t>地    址：</w:t>
      </w:r>
    </w:p>
    <w:p>
      <w:pPr>
        <w:tabs>
          <w:tab w:val="left" w:pos="210"/>
        </w:tabs>
        <w:spacing w:line="360" w:lineRule="auto"/>
        <w:ind w:left="241" w:leftChars="115" w:firstLine="480" w:firstLineChars="200"/>
        <w:rPr>
          <w:rFonts w:ascii="宋体" w:hAnsi="宋体"/>
          <w:sz w:val="24"/>
          <w:szCs w:val="30"/>
        </w:rPr>
      </w:pPr>
      <w:r>
        <w:rPr>
          <w:rFonts w:hint="eastAsia" w:ascii="宋体" w:hAnsi="宋体"/>
          <w:sz w:val="24"/>
          <w:szCs w:val="30"/>
        </w:rPr>
        <w:t>联 系 人：</w:t>
      </w:r>
    </w:p>
    <w:p>
      <w:pPr>
        <w:tabs>
          <w:tab w:val="left" w:pos="210"/>
        </w:tabs>
        <w:spacing w:line="360" w:lineRule="auto"/>
        <w:ind w:left="724" w:leftChars="345"/>
        <w:rPr>
          <w:rFonts w:ascii="宋体" w:hAnsi="宋体"/>
          <w:sz w:val="24"/>
          <w:szCs w:val="30"/>
        </w:rPr>
      </w:pPr>
      <w:r>
        <w:rPr>
          <w:rFonts w:hint="eastAsia" w:ascii="宋体" w:hAnsi="宋体"/>
          <w:sz w:val="24"/>
          <w:szCs w:val="30"/>
        </w:rPr>
        <w:t>联系电话：</w:t>
      </w:r>
    </w:p>
    <w:p>
      <w:pPr>
        <w:tabs>
          <w:tab w:val="left" w:pos="210"/>
        </w:tabs>
        <w:spacing w:line="360" w:lineRule="auto"/>
        <w:ind w:left="724" w:leftChars="345"/>
        <w:rPr>
          <w:rFonts w:ascii="宋体" w:hAnsi="宋体"/>
          <w:sz w:val="24"/>
          <w:szCs w:val="30"/>
        </w:rPr>
      </w:pPr>
      <w:r>
        <w:rPr>
          <w:rFonts w:hint="eastAsia" w:ascii="宋体" w:hAnsi="宋体"/>
          <w:sz w:val="24"/>
          <w:szCs w:val="30"/>
        </w:rPr>
        <w:t>传    真：</w:t>
      </w:r>
    </w:p>
    <w:p>
      <w:pPr>
        <w:tabs>
          <w:tab w:val="left" w:pos="210"/>
        </w:tabs>
        <w:spacing w:line="360" w:lineRule="auto"/>
        <w:ind w:left="724" w:leftChars="345"/>
        <w:rPr>
          <w:rFonts w:ascii="宋体" w:hAnsi="宋体"/>
          <w:sz w:val="24"/>
          <w:szCs w:val="30"/>
        </w:rPr>
      </w:pPr>
      <w:r>
        <w:rPr>
          <w:rFonts w:hint="eastAsia" w:ascii="宋体" w:hAnsi="宋体"/>
          <w:sz w:val="24"/>
          <w:szCs w:val="30"/>
        </w:rPr>
        <w:t>邮箱地址：</w:t>
      </w:r>
    </w:p>
    <w:p>
      <w:pPr>
        <w:pStyle w:val="2"/>
        <w:rPr>
          <w:bCs w:val="0"/>
          <w:color w:val="000000" w:themeColor="text1"/>
          <w:sz w:val="36"/>
          <w:szCs w:val="36"/>
          <w14:textFill>
            <w14:solidFill>
              <w14:schemeClr w14:val="tx1"/>
            </w14:solidFill>
          </w14:textFill>
        </w:rPr>
      </w:pPr>
      <w:r>
        <w:rPr>
          <w:rFonts w:ascii="宋体" w:hAnsi="宋体"/>
          <w:sz w:val="24"/>
          <w:szCs w:val="30"/>
        </w:rPr>
        <w:br w:type="page"/>
      </w:r>
      <w:bookmarkStart w:id="1" w:name="_Toc202863949"/>
      <w:bookmarkStart w:id="2" w:name="_Toc275171304"/>
      <w:bookmarkStart w:id="3" w:name="_Toc277924405"/>
      <w:bookmarkStart w:id="4" w:name="_Toc202864438"/>
      <w:bookmarkStart w:id="5" w:name="_Toc29767"/>
      <w:bookmarkStart w:id="6" w:name="_Toc205194935"/>
      <w:r>
        <w:rPr>
          <w:rFonts w:hint="eastAsia" w:ascii="宋体" w:hAnsi="宋体"/>
          <w:bCs w:val="0"/>
          <w:color w:val="000000"/>
          <w:sz w:val="36"/>
          <w:szCs w:val="36"/>
        </w:rPr>
        <w:t>第二部分</w:t>
      </w:r>
      <w:r>
        <w:rPr>
          <w:rFonts w:hint="eastAsia"/>
          <w:bCs w:val="0"/>
          <w:color w:val="FF0000"/>
          <w:sz w:val="36"/>
          <w:szCs w:val="36"/>
        </w:rPr>
        <w:t xml:space="preserve"> </w:t>
      </w:r>
      <w:r>
        <w:rPr>
          <w:rFonts w:hint="eastAsia"/>
          <w:bCs w:val="0"/>
          <w:color w:val="000000" w:themeColor="text1"/>
          <w:sz w:val="36"/>
          <w:szCs w:val="36"/>
          <w14:textFill>
            <w14:solidFill>
              <w14:schemeClr w14:val="tx1"/>
            </w14:solidFill>
          </w14:textFill>
        </w:rPr>
        <w:t>项目需求说明及技术要求</w:t>
      </w:r>
    </w:p>
    <w:bookmarkEnd w:id="1"/>
    <w:bookmarkEnd w:id="2"/>
    <w:bookmarkEnd w:id="3"/>
    <w:bookmarkEnd w:id="4"/>
    <w:bookmarkEnd w:id="5"/>
    <w:bookmarkEnd w:id="6"/>
    <w:p>
      <w:pPr>
        <w:widowControl/>
        <w:spacing w:line="360" w:lineRule="auto"/>
        <w:jc w:val="left"/>
        <w:rPr>
          <w:rFonts w:ascii="宋体" w:hAnsi="宋体" w:cs="Arial"/>
          <w:color w:val="666666"/>
          <w:kern w:val="0"/>
          <w:sz w:val="32"/>
          <w:szCs w:val="24"/>
        </w:rPr>
      </w:pPr>
      <w:r>
        <w:rPr>
          <w:rFonts w:hint="eastAsia" w:ascii="宋体" w:hAnsi="宋体" w:cs="宋体"/>
          <w:b/>
          <w:bCs/>
          <w:sz w:val="24"/>
          <w:szCs w:val="21"/>
        </w:rPr>
        <w:t>一、项目基本需求</w:t>
      </w:r>
    </w:p>
    <w:tbl>
      <w:tblPr>
        <w:tblStyle w:val="5"/>
        <w:tblW w:w="85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7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jc w:val="center"/>
        </w:trPr>
        <w:tc>
          <w:tcPr>
            <w:tcW w:w="1494" w:type="dxa"/>
            <w:vAlign w:val="center"/>
          </w:tcPr>
          <w:p>
            <w:pPr>
              <w:spacing w:line="400" w:lineRule="exact"/>
              <w:jc w:val="center"/>
              <w:rPr>
                <w:rFonts w:ascii="宋体" w:hAnsi="宋体"/>
                <w:sz w:val="24"/>
                <w:szCs w:val="24"/>
              </w:rPr>
            </w:pPr>
            <w:r>
              <w:rPr>
                <w:rFonts w:hint="eastAsia" w:ascii="宋体" w:hAnsi="宋体"/>
                <w:sz w:val="24"/>
                <w:szCs w:val="24"/>
              </w:rPr>
              <w:t>编号</w:t>
            </w:r>
          </w:p>
        </w:tc>
        <w:tc>
          <w:tcPr>
            <w:tcW w:w="7012" w:type="dxa"/>
            <w:vAlign w:val="center"/>
          </w:tcPr>
          <w:p>
            <w:pPr>
              <w:spacing w:line="400" w:lineRule="exact"/>
              <w:jc w:val="center"/>
              <w:rPr>
                <w:rFonts w:ascii="宋体" w:hAnsi="宋体"/>
                <w:sz w:val="24"/>
                <w:szCs w:val="24"/>
              </w:rPr>
            </w:pPr>
            <w:r>
              <w:rPr>
                <w:rFonts w:hint="eastAsia" w:ascii="宋体" w:hAnsi="宋体"/>
                <w:sz w:val="24"/>
                <w:szCs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1494" w:type="dxa"/>
            <w:vAlign w:val="center"/>
          </w:tcPr>
          <w:p>
            <w:pPr>
              <w:spacing w:line="400" w:lineRule="exact"/>
              <w:jc w:val="center"/>
              <w:rPr>
                <w:rFonts w:ascii="宋体" w:hAnsi="宋体"/>
                <w:sz w:val="24"/>
                <w:szCs w:val="24"/>
              </w:rPr>
            </w:pPr>
            <w:r>
              <w:rPr>
                <w:rFonts w:hint="eastAsia" w:ascii="宋体" w:hAnsi="宋体"/>
                <w:sz w:val="24"/>
                <w:szCs w:val="24"/>
              </w:rPr>
              <w:t>1</w:t>
            </w:r>
          </w:p>
        </w:tc>
        <w:tc>
          <w:tcPr>
            <w:tcW w:w="7012" w:type="dxa"/>
            <w:vAlign w:val="center"/>
          </w:tcPr>
          <w:p>
            <w:pPr>
              <w:spacing w:line="400" w:lineRule="exact"/>
              <w:jc w:val="center"/>
              <w:rPr>
                <w:rFonts w:ascii="宋体" w:hAnsi="宋体"/>
                <w:sz w:val="24"/>
                <w:szCs w:val="24"/>
              </w:rPr>
            </w:pPr>
            <w:r>
              <w:rPr>
                <w:rFonts w:hint="eastAsia" w:ascii="宋体" w:hAnsi="宋体"/>
                <w:sz w:val="24"/>
                <w:szCs w:val="24"/>
              </w:rPr>
              <w:t>子宫内膜容受性检测（ERT）</w:t>
            </w:r>
          </w:p>
        </w:tc>
      </w:tr>
    </w:tbl>
    <w:p>
      <w:pPr>
        <w:spacing w:line="720" w:lineRule="auto"/>
      </w:pPr>
    </w:p>
    <w:p>
      <w:pPr>
        <w:spacing w:line="720" w:lineRule="auto"/>
        <w:rPr>
          <w:rFonts w:ascii="宋体" w:hAnsi="宋体"/>
          <w:sz w:val="30"/>
          <w:szCs w:val="30"/>
        </w:rPr>
      </w:pPr>
      <w:r>
        <w:rPr>
          <w:rFonts w:hint="eastAsia" w:ascii="宋体" w:hAnsi="宋体" w:cs="宋体"/>
          <w:b/>
          <w:bCs/>
          <w:sz w:val="24"/>
        </w:rPr>
        <w:t>二、检测项目具体要求</w:t>
      </w:r>
    </w:p>
    <w:tbl>
      <w:tblPr>
        <w:tblStyle w:val="5"/>
        <w:tblW w:w="8466" w:type="dxa"/>
        <w:tblInd w:w="0" w:type="dxa"/>
        <w:tblLayout w:type="fixed"/>
        <w:tblCellMar>
          <w:top w:w="0" w:type="dxa"/>
          <w:left w:w="0" w:type="dxa"/>
          <w:bottom w:w="0" w:type="dxa"/>
          <w:right w:w="0" w:type="dxa"/>
        </w:tblCellMar>
      </w:tblPr>
      <w:tblGrid>
        <w:gridCol w:w="2284"/>
        <w:gridCol w:w="6182"/>
      </w:tblGrid>
      <w:tr>
        <w:tblPrEx>
          <w:tblLayout w:type="fixed"/>
          <w:tblCellMar>
            <w:top w:w="0" w:type="dxa"/>
            <w:left w:w="0" w:type="dxa"/>
            <w:bottom w:w="0" w:type="dxa"/>
            <w:right w:w="0" w:type="dxa"/>
          </w:tblCellMar>
        </w:tblPrEx>
        <w:trPr>
          <w:trHeight w:val="270" w:hRule="atLeast"/>
        </w:trPr>
        <w:tc>
          <w:tcPr>
            <w:tcW w:w="2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ascii="宋体" w:hAnsi="宋体"/>
                <w:sz w:val="24"/>
                <w:szCs w:val="24"/>
              </w:rPr>
            </w:pPr>
            <w:r>
              <w:rPr>
                <w:rFonts w:hint="eastAsia" w:ascii="宋体" w:hAnsi="宋体"/>
                <w:sz w:val="24"/>
                <w:szCs w:val="24"/>
              </w:rPr>
              <w:t>项目</w:t>
            </w:r>
          </w:p>
        </w:tc>
        <w:tc>
          <w:tcPr>
            <w:tcW w:w="6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ascii="宋体" w:hAnsi="宋体"/>
                <w:sz w:val="24"/>
                <w:szCs w:val="24"/>
              </w:rPr>
            </w:pPr>
            <w:r>
              <w:rPr>
                <w:rFonts w:hint="eastAsia" w:ascii="宋体" w:hAnsi="宋体"/>
                <w:sz w:val="24"/>
                <w:szCs w:val="24"/>
              </w:rPr>
              <w:t>要求</w:t>
            </w:r>
          </w:p>
        </w:tc>
      </w:tr>
      <w:tr>
        <w:tblPrEx>
          <w:tblLayout w:type="fixed"/>
          <w:tblCellMar>
            <w:top w:w="0" w:type="dxa"/>
            <w:left w:w="0" w:type="dxa"/>
            <w:bottom w:w="0" w:type="dxa"/>
            <w:right w:w="0" w:type="dxa"/>
          </w:tblCellMar>
        </w:tblPrEx>
        <w:trPr>
          <w:trHeight w:val="615" w:hRule="atLeast"/>
        </w:trPr>
        <w:tc>
          <w:tcPr>
            <w:tcW w:w="2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sz w:val="24"/>
                <w:szCs w:val="24"/>
              </w:rPr>
            </w:pPr>
            <w:r>
              <w:rPr>
                <w:rFonts w:hint="eastAsia" w:ascii="宋体" w:hAnsi="宋体"/>
                <w:sz w:val="24"/>
                <w:szCs w:val="24"/>
              </w:rPr>
              <w:t>试剂盒名称</w:t>
            </w:r>
          </w:p>
        </w:tc>
        <w:tc>
          <w:tcPr>
            <w:tcW w:w="6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MALBAC白金微量RNA扩增试剂盒，基因测序文库试剂盒</w:t>
            </w:r>
          </w:p>
        </w:tc>
      </w:tr>
      <w:tr>
        <w:tblPrEx>
          <w:tblLayout w:type="fixed"/>
          <w:tblCellMar>
            <w:top w:w="0" w:type="dxa"/>
            <w:left w:w="0" w:type="dxa"/>
            <w:bottom w:w="0" w:type="dxa"/>
            <w:right w:w="0" w:type="dxa"/>
          </w:tblCellMar>
        </w:tblPrEx>
        <w:trPr>
          <w:trHeight w:val="615" w:hRule="atLeast"/>
        </w:trPr>
        <w:tc>
          <w:tcPr>
            <w:tcW w:w="2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sz w:val="24"/>
                <w:szCs w:val="24"/>
              </w:rPr>
            </w:pPr>
            <w:r>
              <w:rPr>
                <w:rFonts w:hint="eastAsia" w:ascii="宋体" w:hAnsi="宋体"/>
                <w:sz w:val="24"/>
                <w:szCs w:val="24"/>
              </w:rPr>
              <w:t>方法学/仪器</w:t>
            </w:r>
          </w:p>
        </w:tc>
        <w:tc>
          <w:tcPr>
            <w:tcW w:w="6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color w:val="FF0000"/>
                <w:sz w:val="24"/>
                <w:szCs w:val="24"/>
              </w:rPr>
            </w:pPr>
            <w:r>
              <w:rPr>
                <w:rFonts w:hint="eastAsia" w:ascii="宋体" w:hAnsi="宋体"/>
                <w:color w:val="000000" w:themeColor="text1"/>
                <w:sz w:val="24"/>
                <w:szCs w:val="24"/>
                <w14:textFill>
                  <w14:solidFill>
                    <w14:schemeClr w14:val="tx1"/>
                  </w14:solidFill>
                </w14:textFill>
              </w:rPr>
              <w:t>RNA-seq/illlumina Miseq</w:t>
            </w:r>
          </w:p>
        </w:tc>
      </w:tr>
      <w:tr>
        <w:tblPrEx>
          <w:tblLayout w:type="fixed"/>
          <w:tblCellMar>
            <w:top w:w="0" w:type="dxa"/>
            <w:left w:w="0" w:type="dxa"/>
            <w:bottom w:w="0" w:type="dxa"/>
            <w:right w:w="0" w:type="dxa"/>
          </w:tblCellMar>
        </w:tblPrEx>
        <w:trPr>
          <w:trHeight w:val="615" w:hRule="atLeast"/>
        </w:trPr>
        <w:tc>
          <w:tcPr>
            <w:tcW w:w="2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sz w:val="24"/>
                <w:szCs w:val="24"/>
              </w:rPr>
            </w:pPr>
            <w:r>
              <w:rPr>
                <w:rFonts w:hint="eastAsia" w:ascii="宋体" w:hAnsi="宋体"/>
                <w:color w:val="000000" w:themeColor="text1"/>
                <w:sz w:val="24"/>
                <w:szCs w:val="24"/>
                <w14:textFill>
                  <w14:solidFill>
                    <w14:schemeClr w14:val="tx1"/>
                  </w14:solidFill>
                </w14:textFill>
              </w:rPr>
              <w:t>检测范围</w:t>
            </w:r>
          </w:p>
        </w:tc>
        <w:tc>
          <w:tcPr>
            <w:tcW w:w="6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检测子宫内膜所有转录组基因，</w:t>
            </w:r>
          </w:p>
          <w:p>
            <w:pPr>
              <w:spacing w:line="400" w:lineRule="exact"/>
              <w:jc w:val="center"/>
              <w:rPr>
                <w:rFonts w:ascii="宋体" w:hAnsi="宋体"/>
                <w:color w:val="FF0000"/>
                <w:sz w:val="24"/>
                <w:szCs w:val="24"/>
              </w:rPr>
            </w:pPr>
            <w:r>
              <w:rPr>
                <w:rFonts w:hint="eastAsia" w:ascii="宋体" w:hAnsi="宋体"/>
                <w:color w:val="000000" w:themeColor="text1"/>
                <w:sz w:val="24"/>
                <w:szCs w:val="24"/>
                <w14:textFill>
                  <w14:solidFill>
                    <w14:schemeClr w14:val="tx1"/>
                  </w14:solidFill>
                </w14:textFill>
              </w:rPr>
              <w:t>并且特异分析12734个差异表达基因</w:t>
            </w:r>
          </w:p>
        </w:tc>
      </w:tr>
      <w:tr>
        <w:tblPrEx>
          <w:tblLayout w:type="fixed"/>
          <w:tblCellMar>
            <w:top w:w="0" w:type="dxa"/>
            <w:left w:w="0" w:type="dxa"/>
            <w:bottom w:w="0" w:type="dxa"/>
            <w:right w:w="0" w:type="dxa"/>
          </w:tblCellMar>
        </w:tblPrEx>
        <w:trPr>
          <w:trHeight w:val="285" w:hRule="atLeast"/>
        </w:trPr>
        <w:tc>
          <w:tcPr>
            <w:tcW w:w="2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sz w:val="24"/>
                <w:szCs w:val="24"/>
              </w:rPr>
            </w:pPr>
            <w:r>
              <w:rPr>
                <w:rFonts w:hint="eastAsia" w:ascii="宋体" w:hAnsi="宋体"/>
                <w:sz w:val="24"/>
                <w:szCs w:val="24"/>
              </w:rPr>
              <w:t>样本类型</w:t>
            </w:r>
          </w:p>
        </w:tc>
        <w:tc>
          <w:tcPr>
            <w:tcW w:w="6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ascii="宋体" w:hAnsi="宋体"/>
                <w:color w:val="FF0000"/>
                <w:sz w:val="24"/>
                <w:szCs w:val="24"/>
              </w:rPr>
            </w:pPr>
            <w:r>
              <w:rPr>
                <w:rFonts w:hint="eastAsia" w:ascii="宋体" w:hAnsi="宋体"/>
                <w:color w:val="000000" w:themeColor="text1"/>
                <w:sz w:val="24"/>
                <w:szCs w:val="24"/>
                <w14:textFill>
                  <w14:solidFill>
                    <w14:schemeClr w14:val="tx1"/>
                  </w14:solidFill>
                </w14:textFill>
              </w:rPr>
              <w:t>子宫内膜</w:t>
            </w:r>
          </w:p>
        </w:tc>
      </w:tr>
      <w:tr>
        <w:tblPrEx>
          <w:tblLayout w:type="fixed"/>
          <w:tblCellMar>
            <w:top w:w="0" w:type="dxa"/>
            <w:left w:w="0" w:type="dxa"/>
            <w:bottom w:w="0" w:type="dxa"/>
            <w:right w:w="0" w:type="dxa"/>
          </w:tblCellMar>
        </w:tblPrEx>
        <w:trPr>
          <w:trHeight w:val="1035" w:hRule="atLeast"/>
        </w:trPr>
        <w:tc>
          <w:tcPr>
            <w:tcW w:w="2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sz w:val="24"/>
                <w:szCs w:val="24"/>
              </w:rPr>
            </w:pPr>
            <w:r>
              <w:rPr>
                <w:rFonts w:hint="eastAsia" w:ascii="宋体" w:hAnsi="宋体"/>
                <w:color w:val="000000" w:themeColor="text1"/>
                <w:sz w:val="24"/>
                <w:szCs w:val="24"/>
                <w14:textFill>
                  <w14:solidFill>
                    <w14:schemeClr w14:val="tx1"/>
                  </w14:solidFill>
                </w14:textFill>
              </w:rPr>
              <w:t>检测型别</w:t>
            </w:r>
          </w:p>
        </w:tc>
        <w:tc>
          <w:tcPr>
            <w:tcW w:w="6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color w:val="FF0000"/>
                <w:sz w:val="24"/>
                <w:szCs w:val="24"/>
              </w:rPr>
            </w:pPr>
            <w:r>
              <w:rPr>
                <w:rFonts w:hint="eastAsia" w:ascii="宋体" w:hAnsi="宋体"/>
                <w:color w:val="000000" w:themeColor="text1"/>
                <w:sz w:val="24"/>
                <w:szCs w:val="24"/>
                <w14:textFill>
                  <w14:solidFill>
                    <w14:schemeClr w14:val="tx1"/>
                  </w14:solidFill>
                </w14:textFill>
              </w:rPr>
              <w:t>判断子宫内膜窗口期</w:t>
            </w:r>
          </w:p>
        </w:tc>
      </w:tr>
      <w:tr>
        <w:tblPrEx>
          <w:tblLayout w:type="fixed"/>
          <w:tblCellMar>
            <w:top w:w="0" w:type="dxa"/>
            <w:left w:w="0" w:type="dxa"/>
            <w:bottom w:w="0" w:type="dxa"/>
            <w:right w:w="0" w:type="dxa"/>
          </w:tblCellMar>
        </w:tblPrEx>
        <w:trPr>
          <w:trHeight w:val="615" w:hRule="atLeast"/>
        </w:trPr>
        <w:tc>
          <w:tcPr>
            <w:tcW w:w="2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sz w:val="24"/>
                <w:szCs w:val="24"/>
              </w:rPr>
            </w:pPr>
            <w:r>
              <w:rPr>
                <w:rFonts w:hint="eastAsia" w:ascii="宋体" w:hAnsi="宋体"/>
                <w:sz w:val="24"/>
                <w:szCs w:val="24"/>
              </w:rPr>
              <w:t>质控</w:t>
            </w:r>
          </w:p>
        </w:tc>
        <w:tc>
          <w:tcPr>
            <w:tcW w:w="6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ascii="宋体" w:hAnsi="宋体"/>
                <w:color w:val="FF0000"/>
                <w:sz w:val="24"/>
                <w:szCs w:val="24"/>
              </w:rPr>
            </w:pPr>
            <w:r>
              <w:rPr>
                <w:rFonts w:hint="eastAsia" w:ascii="宋体" w:hAnsi="宋体"/>
                <w:color w:val="000000" w:themeColor="text1"/>
                <w:sz w:val="24"/>
                <w:szCs w:val="24"/>
                <w14:textFill>
                  <w14:solidFill>
                    <w14:schemeClr w14:val="tx1"/>
                  </w14:solidFill>
                </w14:textFill>
              </w:rPr>
              <w:t>多重质控，可监控样本的质量以及整个检测过程</w:t>
            </w:r>
          </w:p>
        </w:tc>
      </w:tr>
      <w:tr>
        <w:tblPrEx>
          <w:tblLayout w:type="fixed"/>
          <w:tblCellMar>
            <w:top w:w="0" w:type="dxa"/>
            <w:left w:w="0" w:type="dxa"/>
            <w:bottom w:w="0" w:type="dxa"/>
            <w:right w:w="0" w:type="dxa"/>
          </w:tblCellMar>
        </w:tblPrEx>
        <w:trPr>
          <w:trHeight w:val="285" w:hRule="atLeast"/>
        </w:trPr>
        <w:tc>
          <w:tcPr>
            <w:tcW w:w="2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sz w:val="24"/>
                <w:szCs w:val="24"/>
              </w:rPr>
            </w:pPr>
            <w:r>
              <w:rPr>
                <w:rFonts w:hint="eastAsia" w:ascii="宋体" w:hAnsi="宋体"/>
                <w:sz w:val="24"/>
                <w:szCs w:val="24"/>
              </w:rPr>
              <w:t>操作流程、时间</w:t>
            </w:r>
          </w:p>
        </w:tc>
        <w:tc>
          <w:tcPr>
            <w:tcW w:w="6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eastAsia" w:ascii="宋体" w:hAnsi="宋体"/>
                <w:color w:val="FF0000"/>
                <w:sz w:val="24"/>
                <w:szCs w:val="24"/>
              </w:rPr>
            </w:pPr>
            <w:r>
              <w:rPr>
                <w:rFonts w:hint="eastAsia" w:ascii="宋体" w:hAnsi="宋体"/>
                <w:color w:val="000000" w:themeColor="text1"/>
                <w:sz w:val="24"/>
                <w:szCs w:val="24"/>
                <w14:textFill>
                  <w14:solidFill>
                    <w14:schemeClr w14:val="tx1"/>
                  </w14:solidFill>
                </w14:textFill>
              </w:rPr>
              <w:t>子宫内膜R</w:t>
            </w:r>
            <w:r>
              <w:rPr>
                <w:rFonts w:ascii="宋体" w:hAnsi="宋体"/>
                <w:color w:val="000000" w:themeColor="text1"/>
                <w:sz w:val="24"/>
                <w:szCs w:val="24"/>
                <w14:textFill>
                  <w14:solidFill>
                    <w14:schemeClr w14:val="tx1"/>
                  </w14:solidFill>
                </w14:textFill>
              </w:rPr>
              <w:t>NA</w:t>
            </w:r>
            <w:r>
              <w:rPr>
                <w:rFonts w:hint="eastAsia" w:ascii="宋体" w:hAnsi="宋体"/>
                <w:color w:val="000000" w:themeColor="text1"/>
                <w:sz w:val="24"/>
                <w:szCs w:val="24"/>
                <w14:textFill>
                  <w14:solidFill>
                    <w14:schemeClr w14:val="tx1"/>
                  </w14:solidFill>
                </w14:textFill>
              </w:rPr>
              <w:t>提取、R</w:t>
            </w:r>
            <w:r>
              <w:rPr>
                <w:rFonts w:ascii="宋体" w:hAnsi="宋体"/>
                <w:color w:val="000000" w:themeColor="text1"/>
                <w:sz w:val="24"/>
                <w:szCs w:val="24"/>
                <w14:textFill>
                  <w14:solidFill>
                    <w14:schemeClr w14:val="tx1"/>
                  </w14:solidFill>
                </w14:textFill>
              </w:rPr>
              <w:t>NA</w:t>
            </w:r>
            <w:r>
              <w:rPr>
                <w:rFonts w:hint="eastAsia" w:ascii="宋体" w:hAnsi="宋体"/>
                <w:color w:val="000000" w:themeColor="text1"/>
                <w:sz w:val="24"/>
                <w:szCs w:val="24"/>
                <w14:textFill>
                  <w14:solidFill>
                    <w14:schemeClr w14:val="tx1"/>
                  </w14:solidFill>
                </w14:textFill>
              </w:rPr>
              <w:t>逆转录、测序文库制备、高通量测序、A</w:t>
            </w:r>
            <w:r>
              <w:rPr>
                <w:rFonts w:ascii="宋体" w:hAnsi="宋体"/>
                <w:color w:val="000000" w:themeColor="text1"/>
                <w:sz w:val="24"/>
                <w:szCs w:val="24"/>
                <w14:textFill>
                  <w14:solidFill>
                    <w14:schemeClr w14:val="tx1"/>
                  </w14:solidFill>
                </w14:textFill>
              </w:rPr>
              <w:t>I</w:t>
            </w:r>
            <w:r>
              <w:rPr>
                <w:rFonts w:hint="eastAsia" w:ascii="宋体" w:hAnsi="宋体"/>
                <w:color w:val="000000" w:themeColor="text1"/>
                <w:sz w:val="24"/>
                <w:szCs w:val="24"/>
                <w14:textFill>
                  <w14:solidFill>
                    <w14:schemeClr w14:val="tx1"/>
                  </w14:solidFill>
                </w14:textFill>
              </w:rPr>
              <w:t>分析、出具报告，1</w:t>
            </w:r>
            <w:r>
              <w:rPr>
                <w:rFonts w:ascii="宋体" w:hAnsi="宋体"/>
                <w:color w:val="000000" w:themeColor="text1"/>
                <w:sz w:val="24"/>
                <w:szCs w:val="24"/>
                <w14:textFill>
                  <w14:solidFill>
                    <w14:schemeClr w14:val="tx1"/>
                  </w14:solidFill>
                </w14:textFill>
              </w:rPr>
              <w:t>0</w:t>
            </w:r>
            <w:r>
              <w:rPr>
                <w:rFonts w:hint="eastAsia" w:ascii="宋体" w:hAnsi="宋体"/>
                <w:color w:val="000000" w:themeColor="text1"/>
                <w:sz w:val="24"/>
                <w:szCs w:val="24"/>
                <w14:textFill>
                  <w14:solidFill>
                    <w14:schemeClr w14:val="tx1"/>
                  </w14:solidFill>
                </w14:textFill>
              </w:rPr>
              <w:t>天</w:t>
            </w:r>
          </w:p>
        </w:tc>
      </w:tr>
      <w:tr>
        <w:tblPrEx>
          <w:tblLayout w:type="fixed"/>
          <w:tblCellMar>
            <w:top w:w="0" w:type="dxa"/>
            <w:left w:w="0" w:type="dxa"/>
            <w:bottom w:w="0" w:type="dxa"/>
            <w:right w:w="0" w:type="dxa"/>
          </w:tblCellMar>
        </w:tblPrEx>
        <w:trPr>
          <w:trHeight w:val="285" w:hRule="atLeast"/>
        </w:trPr>
        <w:tc>
          <w:tcPr>
            <w:tcW w:w="2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sz w:val="24"/>
                <w:szCs w:val="24"/>
              </w:rPr>
            </w:pPr>
            <w:r>
              <w:rPr>
                <w:rFonts w:hint="eastAsia" w:ascii="宋体" w:hAnsi="宋体"/>
                <w:sz w:val="24"/>
                <w:szCs w:val="24"/>
              </w:rPr>
              <w:t>结果判读</w:t>
            </w:r>
          </w:p>
        </w:tc>
        <w:tc>
          <w:tcPr>
            <w:tcW w:w="6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ascii="宋体" w:hAnsi="宋体"/>
                <w:color w:val="FF0000"/>
                <w:sz w:val="24"/>
                <w:szCs w:val="24"/>
              </w:rPr>
            </w:pPr>
            <w:r>
              <w:rPr>
                <w:rFonts w:hint="eastAsia" w:ascii="宋体" w:hAnsi="宋体"/>
                <w:color w:val="000000" w:themeColor="text1"/>
                <w:sz w:val="24"/>
                <w:szCs w:val="24"/>
                <w14:textFill>
                  <w14:solidFill>
                    <w14:schemeClr w14:val="tx1"/>
                  </w14:solidFill>
                </w14:textFill>
              </w:rPr>
              <w:t>自主设计软件判读，结果可靠</w:t>
            </w:r>
          </w:p>
        </w:tc>
      </w:tr>
      <w:tr>
        <w:tblPrEx>
          <w:tblLayout w:type="fixed"/>
          <w:tblCellMar>
            <w:top w:w="0" w:type="dxa"/>
            <w:left w:w="0" w:type="dxa"/>
            <w:bottom w:w="0" w:type="dxa"/>
            <w:right w:w="0" w:type="dxa"/>
          </w:tblCellMar>
        </w:tblPrEx>
        <w:trPr>
          <w:trHeight w:val="465" w:hRule="atLeast"/>
        </w:trPr>
        <w:tc>
          <w:tcPr>
            <w:tcW w:w="2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sz w:val="24"/>
                <w:szCs w:val="24"/>
              </w:rPr>
            </w:pPr>
            <w:r>
              <w:rPr>
                <w:rFonts w:hint="eastAsia" w:ascii="宋体" w:hAnsi="宋体"/>
                <w:sz w:val="24"/>
                <w:szCs w:val="24"/>
              </w:rPr>
              <w:t>灵敏度（最低检出限）</w:t>
            </w:r>
          </w:p>
        </w:tc>
        <w:tc>
          <w:tcPr>
            <w:tcW w:w="6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ascii="宋体" w:hAnsi="宋体"/>
                <w:color w:val="FF0000"/>
                <w:sz w:val="24"/>
                <w:szCs w:val="24"/>
              </w:rPr>
            </w:pPr>
            <w:r>
              <w:rPr>
                <w:rFonts w:hint="eastAsia" w:ascii="宋体" w:hAnsi="宋体"/>
                <w:color w:val="000000" w:themeColor="text1"/>
                <w:sz w:val="24"/>
                <w:szCs w:val="24"/>
                <w14:textFill>
                  <w14:solidFill>
                    <w14:schemeClr w14:val="tx1"/>
                  </w14:solidFill>
                </w14:textFill>
              </w:rPr>
              <w:t>可准确检测子宫内膜的容受期，准确性≥9</w:t>
            </w:r>
            <w:r>
              <w:rPr>
                <w:rFonts w:ascii="宋体" w:hAnsi="宋体"/>
                <w:color w:val="000000" w:themeColor="text1"/>
                <w:sz w:val="24"/>
                <w:szCs w:val="24"/>
                <w14:textFill>
                  <w14:solidFill>
                    <w14:schemeClr w14:val="tx1"/>
                  </w14:solidFill>
                </w14:textFill>
              </w:rPr>
              <w:t>2.3</w:t>
            </w:r>
            <w:r>
              <w:rPr>
                <w:rFonts w:hint="eastAsia" w:ascii="宋体" w:hAnsi="宋体"/>
                <w:color w:val="000000" w:themeColor="text1"/>
                <w:sz w:val="24"/>
                <w:szCs w:val="24"/>
                <w14:textFill>
                  <w14:solidFill>
                    <w14:schemeClr w14:val="tx1"/>
                  </w14:solidFill>
                </w14:textFill>
              </w:rPr>
              <w:t>%</w:t>
            </w:r>
          </w:p>
        </w:tc>
      </w:tr>
    </w:tbl>
    <w:p>
      <w:pPr>
        <w:pStyle w:val="6"/>
        <w:snapToGrid w:val="0"/>
        <w:spacing w:before="312" w:beforeLines="100" w:line="360" w:lineRule="auto"/>
        <w:ind w:firstLine="0" w:firstLineChars="0"/>
        <w:rPr>
          <w:rFonts w:ascii="宋体" w:hAnsi="宋体" w:cs="宋体"/>
          <w:b/>
          <w:bCs/>
          <w:sz w:val="24"/>
          <w:szCs w:val="21"/>
        </w:rPr>
      </w:pPr>
    </w:p>
    <w:p>
      <w:pPr>
        <w:pStyle w:val="6"/>
        <w:snapToGrid w:val="0"/>
        <w:spacing w:before="312" w:beforeLines="100" w:line="360" w:lineRule="auto"/>
        <w:ind w:firstLine="0" w:firstLineChars="0"/>
        <w:rPr>
          <w:rFonts w:ascii="宋体" w:hAnsi="宋体" w:cs="宋体"/>
          <w:b/>
          <w:bCs/>
          <w:sz w:val="24"/>
          <w:szCs w:val="21"/>
        </w:rPr>
      </w:pPr>
    </w:p>
    <w:p>
      <w:pPr>
        <w:pStyle w:val="6"/>
        <w:snapToGrid w:val="0"/>
        <w:spacing w:before="312" w:beforeLines="100" w:line="360" w:lineRule="auto"/>
        <w:ind w:firstLine="0" w:firstLineChars="0"/>
        <w:rPr>
          <w:rFonts w:hint="eastAsia" w:ascii="宋体" w:hAnsi="宋体" w:cs="宋体"/>
          <w:b/>
          <w:bCs/>
          <w:sz w:val="24"/>
          <w:szCs w:val="21"/>
        </w:rPr>
      </w:pPr>
    </w:p>
    <w:p>
      <w:pPr>
        <w:pStyle w:val="6"/>
        <w:snapToGrid w:val="0"/>
        <w:spacing w:before="312" w:beforeLines="100" w:line="360" w:lineRule="auto"/>
        <w:ind w:firstLine="0" w:firstLineChars="0"/>
        <w:rPr>
          <w:rFonts w:ascii="宋体" w:hAnsi="宋体" w:cs="宋体"/>
          <w:b/>
          <w:bCs/>
          <w:sz w:val="24"/>
          <w:szCs w:val="21"/>
        </w:rPr>
      </w:pPr>
      <w:r>
        <w:rPr>
          <w:rFonts w:hint="eastAsia" w:ascii="宋体" w:hAnsi="宋体" w:cs="宋体"/>
          <w:b/>
          <w:bCs/>
          <w:sz w:val="24"/>
          <w:szCs w:val="21"/>
        </w:rPr>
        <w:t>三、样本收取与检测报告要求</w:t>
      </w:r>
    </w:p>
    <w:p>
      <w:pPr>
        <w:snapToGrid w:val="0"/>
        <w:spacing w:line="360" w:lineRule="auto"/>
        <w:ind w:firstLine="480" w:firstLineChars="200"/>
        <w:rPr>
          <w:rFonts w:ascii="宋体" w:hAnsi="宋体" w:cs="宋体"/>
          <w:sz w:val="24"/>
          <w:szCs w:val="21"/>
        </w:rPr>
      </w:pPr>
      <w:r>
        <w:rPr>
          <w:rFonts w:hint="eastAsia" w:ascii="宋体" w:hAnsi="宋体" w:cs="宋体"/>
          <w:sz w:val="24"/>
          <w:szCs w:val="21"/>
        </w:rPr>
        <w:t>1、样本收取</w:t>
      </w:r>
    </w:p>
    <w:p>
      <w:pPr>
        <w:pStyle w:val="3"/>
        <w:numPr>
          <w:ilvl w:val="1"/>
          <w:numId w:val="2"/>
        </w:numPr>
        <w:snapToGrid w:val="0"/>
        <w:spacing w:after="0" w:line="360" w:lineRule="auto"/>
        <w:rPr>
          <w:rFonts w:ascii="宋体" w:hAnsi="宋体" w:cs="宋体"/>
          <w:color w:val="000000"/>
          <w:sz w:val="24"/>
          <w:szCs w:val="21"/>
        </w:rPr>
      </w:pPr>
      <w:r>
        <w:rPr>
          <w:rFonts w:hint="eastAsia" w:ascii="宋体" w:hAnsi="宋体" w:cs="宋体"/>
          <w:color w:val="000000"/>
          <w:sz w:val="24"/>
          <w:szCs w:val="21"/>
        </w:rPr>
        <w:t>本院采样。</w:t>
      </w:r>
    </w:p>
    <w:p>
      <w:pPr>
        <w:pStyle w:val="6"/>
        <w:numPr>
          <w:ilvl w:val="1"/>
          <w:numId w:val="2"/>
        </w:numPr>
        <w:autoSpaceDE w:val="0"/>
        <w:autoSpaceDN w:val="0"/>
        <w:adjustRightInd w:val="0"/>
        <w:snapToGrid w:val="0"/>
        <w:spacing w:line="360" w:lineRule="auto"/>
        <w:ind w:firstLineChars="0"/>
        <w:jc w:val="left"/>
        <w:rPr>
          <w:rFonts w:ascii="宋体" w:hAnsi="宋体" w:cs="宋体"/>
          <w:color w:val="000000"/>
          <w:sz w:val="24"/>
          <w:szCs w:val="21"/>
        </w:rPr>
      </w:pPr>
      <w:r>
        <w:rPr>
          <w:rFonts w:hint="eastAsia" w:ascii="宋体" w:hAnsi="宋体" w:cs="宋体"/>
          <w:color w:val="000000"/>
          <w:sz w:val="24"/>
          <w:szCs w:val="21"/>
        </w:rPr>
        <w:t>遵守保密制度，保护受检者的秘密，未经许可，不得向无关人员泄露受检者的检测情况。</w:t>
      </w:r>
    </w:p>
    <w:p>
      <w:pPr>
        <w:numPr>
          <w:ilvl w:val="0"/>
          <w:numId w:val="3"/>
        </w:numPr>
        <w:autoSpaceDE w:val="0"/>
        <w:autoSpaceDN w:val="0"/>
        <w:adjustRightInd w:val="0"/>
        <w:snapToGrid w:val="0"/>
        <w:spacing w:line="360" w:lineRule="auto"/>
        <w:ind w:firstLine="480" w:firstLineChars="200"/>
        <w:jc w:val="left"/>
        <w:rPr>
          <w:rFonts w:ascii="宋体" w:hAnsi="宋体" w:cs="宋体"/>
          <w:sz w:val="24"/>
          <w:szCs w:val="21"/>
        </w:rPr>
      </w:pPr>
      <w:r>
        <w:rPr>
          <w:rFonts w:hint="eastAsia" w:ascii="宋体" w:hAnsi="宋体" w:cs="宋体"/>
          <w:color w:val="000000"/>
          <w:sz w:val="24"/>
          <w:szCs w:val="21"/>
        </w:rPr>
        <w:t>检测报告</w:t>
      </w:r>
      <w:r>
        <w:rPr>
          <w:rFonts w:hint="eastAsia" w:ascii="宋体" w:hAnsi="宋体" w:cs="宋体"/>
          <w:sz w:val="24"/>
          <w:szCs w:val="21"/>
        </w:rPr>
        <w:t>出具时间：外送，10个工作日内出具报告。</w:t>
      </w:r>
    </w:p>
    <w:p>
      <w:pPr>
        <w:autoSpaceDE w:val="0"/>
        <w:autoSpaceDN w:val="0"/>
        <w:adjustRightInd w:val="0"/>
        <w:snapToGrid w:val="0"/>
        <w:spacing w:line="360" w:lineRule="auto"/>
        <w:ind w:firstLine="480" w:firstLineChars="200"/>
        <w:jc w:val="left"/>
        <w:rPr>
          <w:rFonts w:ascii="宋体" w:hAnsi="宋体" w:cs="宋体"/>
          <w:sz w:val="24"/>
          <w:szCs w:val="21"/>
        </w:rPr>
      </w:pPr>
    </w:p>
    <w:p>
      <w:pPr>
        <w:autoSpaceDE w:val="0"/>
        <w:autoSpaceDN w:val="0"/>
        <w:adjustRightInd w:val="0"/>
        <w:snapToGrid w:val="0"/>
        <w:spacing w:line="360" w:lineRule="auto"/>
        <w:ind w:firstLine="480" w:firstLineChars="200"/>
        <w:jc w:val="left"/>
        <w:rPr>
          <w:rFonts w:ascii="宋体" w:hAnsi="宋体" w:cs="宋体"/>
          <w:sz w:val="24"/>
          <w:szCs w:val="21"/>
        </w:rPr>
      </w:pPr>
    </w:p>
    <w:p>
      <w:pPr>
        <w:autoSpaceDE w:val="0"/>
        <w:autoSpaceDN w:val="0"/>
        <w:adjustRightInd w:val="0"/>
        <w:snapToGrid w:val="0"/>
        <w:spacing w:line="360" w:lineRule="auto"/>
        <w:ind w:firstLine="480" w:firstLineChars="200"/>
        <w:jc w:val="left"/>
        <w:rPr>
          <w:rFonts w:ascii="宋体" w:hAnsi="宋体" w:cs="宋体"/>
          <w:sz w:val="24"/>
          <w:szCs w:val="21"/>
        </w:rPr>
      </w:pPr>
    </w:p>
    <w:p>
      <w:pPr>
        <w:autoSpaceDE w:val="0"/>
        <w:autoSpaceDN w:val="0"/>
        <w:adjustRightInd w:val="0"/>
        <w:snapToGrid w:val="0"/>
        <w:spacing w:line="360" w:lineRule="auto"/>
        <w:ind w:firstLine="480" w:firstLineChars="200"/>
        <w:jc w:val="left"/>
        <w:rPr>
          <w:rFonts w:ascii="宋体" w:hAnsi="宋体" w:cs="宋体"/>
          <w:sz w:val="24"/>
          <w:szCs w:val="21"/>
        </w:rPr>
      </w:pPr>
    </w:p>
    <w:p>
      <w:pPr>
        <w:autoSpaceDE w:val="0"/>
        <w:autoSpaceDN w:val="0"/>
        <w:adjustRightInd w:val="0"/>
        <w:snapToGrid w:val="0"/>
        <w:spacing w:line="360" w:lineRule="auto"/>
        <w:ind w:firstLine="480" w:firstLineChars="200"/>
        <w:jc w:val="left"/>
        <w:rPr>
          <w:rFonts w:ascii="宋体" w:hAnsi="宋体" w:cs="宋体"/>
          <w:sz w:val="24"/>
          <w:szCs w:val="21"/>
        </w:rPr>
      </w:pPr>
    </w:p>
    <w:p>
      <w:pPr>
        <w:autoSpaceDE w:val="0"/>
        <w:autoSpaceDN w:val="0"/>
        <w:adjustRightInd w:val="0"/>
        <w:snapToGrid w:val="0"/>
        <w:spacing w:line="360" w:lineRule="auto"/>
        <w:ind w:firstLine="480" w:firstLineChars="200"/>
        <w:jc w:val="left"/>
        <w:rPr>
          <w:rFonts w:ascii="宋体" w:hAnsi="宋体" w:cs="宋体"/>
          <w:sz w:val="24"/>
          <w:szCs w:val="21"/>
        </w:rPr>
      </w:pPr>
    </w:p>
    <w:p>
      <w:pPr>
        <w:autoSpaceDE w:val="0"/>
        <w:autoSpaceDN w:val="0"/>
        <w:adjustRightInd w:val="0"/>
        <w:snapToGrid w:val="0"/>
        <w:spacing w:line="360" w:lineRule="auto"/>
        <w:ind w:firstLine="480" w:firstLineChars="200"/>
        <w:jc w:val="left"/>
        <w:rPr>
          <w:rFonts w:ascii="宋体" w:hAnsi="宋体" w:cs="宋体"/>
          <w:sz w:val="24"/>
          <w:szCs w:val="21"/>
        </w:rPr>
      </w:pPr>
    </w:p>
    <w:p>
      <w:pPr>
        <w:spacing w:line="300" w:lineRule="auto"/>
        <w:rPr>
          <w:rFonts w:ascii="宋体" w:hAnsi="宋体"/>
          <w:sz w:val="24"/>
        </w:rPr>
      </w:pPr>
    </w:p>
    <w:p>
      <w:pPr>
        <w:autoSpaceDE w:val="0"/>
        <w:autoSpaceDN w:val="0"/>
        <w:adjustRightInd w:val="0"/>
        <w:snapToGrid w:val="0"/>
        <w:spacing w:line="360" w:lineRule="auto"/>
        <w:ind w:firstLine="480" w:firstLineChars="200"/>
        <w:jc w:val="left"/>
        <w:rPr>
          <w:rFonts w:ascii="宋体" w:hAnsi="宋体" w:cs="宋体"/>
          <w:sz w:val="24"/>
          <w:szCs w:val="21"/>
        </w:rPr>
      </w:pPr>
    </w:p>
    <w:p>
      <w:pPr>
        <w:autoSpaceDE w:val="0"/>
        <w:autoSpaceDN w:val="0"/>
        <w:adjustRightInd w:val="0"/>
        <w:snapToGrid w:val="0"/>
        <w:spacing w:line="360" w:lineRule="auto"/>
        <w:ind w:firstLine="480" w:firstLineChars="200"/>
        <w:jc w:val="left"/>
        <w:rPr>
          <w:rFonts w:ascii="宋体" w:hAnsi="宋体" w:cs="宋体"/>
          <w:sz w:val="24"/>
          <w:szCs w:val="21"/>
        </w:rPr>
      </w:pPr>
    </w:p>
    <w:p>
      <w:pPr>
        <w:autoSpaceDE w:val="0"/>
        <w:autoSpaceDN w:val="0"/>
        <w:adjustRightInd w:val="0"/>
        <w:snapToGrid w:val="0"/>
        <w:spacing w:line="360" w:lineRule="auto"/>
        <w:ind w:firstLine="480" w:firstLineChars="200"/>
        <w:jc w:val="left"/>
        <w:rPr>
          <w:rFonts w:ascii="宋体" w:hAnsi="宋体" w:cs="宋体"/>
          <w:sz w:val="24"/>
          <w:szCs w:val="21"/>
        </w:rPr>
      </w:pPr>
    </w:p>
    <w:p>
      <w:pPr>
        <w:autoSpaceDE w:val="0"/>
        <w:autoSpaceDN w:val="0"/>
        <w:adjustRightInd w:val="0"/>
        <w:snapToGrid w:val="0"/>
        <w:spacing w:line="360" w:lineRule="auto"/>
        <w:ind w:firstLine="480" w:firstLineChars="200"/>
        <w:jc w:val="left"/>
        <w:rPr>
          <w:rFonts w:ascii="宋体" w:hAnsi="宋体" w:cs="宋体"/>
          <w:sz w:val="24"/>
          <w:szCs w:val="21"/>
        </w:rPr>
      </w:pPr>
    </w:p>
    <w:p>
      <w:pPr>
        <w:autoSpaceDE w:val="0"/>
        <w:autoSpaceDN w:val="0"/>
        <w:adjustRightInd w:val="0"/>
        <w:snapToGrid w:val="0"/>
        <w:spacing w:line="360" w:lineRule="auto"/>
        <w:ind w:firstLine="480" w:firstLineChars="200"/>
        <w:jc w:val="left"/>
        <w:rPr>
          <w:rFonts w:ascii="宋体" w:hAnsi="宋体" w:cs="宋体"/>
          <w:sz w:val="24"/>
          <w:szCs w:val="21"/>
        </w:rPr>
      </w:pPr>
    </w:p>
    <w:p>
      <w:pPr>
        <w:spacing w:line="300" w:lineRule="auto"/>
        <w:rPr>
          <w:rFonts w:ascii="宋体" w:hAnsi="宋体"/>
          <w:sz w:val="24"/>
        </w:rPr>
      </w:pPr>
    </w:p>
    <w:p>
      <w:pPr>
        <w:spacing w:line="300" w:lineRule="auto"/>
        <w:jc w:val="center"/>
        <w:rPr>
          <w:rFonts w:hint="eastAsia" w:ascii="宋体" w:hAnsi="宋体"/>
          <w:b/>
          <w:bCs/>
          <w:sz w:val="36"/>
          <w:szCs w:val="30"/>
        </w:rPr>
      </w:pPr>
    </w:p>
    <w:p>
      <w:pPr>
        <w:spacing w:line="300" w:lineRule="auto"/>
        <w:jc w:val="center"/>
        <w:rPr>
          <w:rFonts w:hint="eastAsia" w:ascii="宋体" w:hAnsi="宋体"/>
          <w:b/>
          <w:bCs/>
          <w:sz w:val="36"/>
          <w:szCs w:val="30"/>
        </w:rPr>
      </w:pPr>
    </w:p>
    <w:p>
      <w:pPr>
        <w:spacing w:line="300" w:lineRule="auto"/>
        <w:jc w:val="center"/>
        <w:rPr>
          <w:rFonts w:hint="eastAsia" w:ascii="宋体" w:hAnsi="宋体"/>
          <w:b/>
          <w:bCs/>
          <w:sz w:val="36"/>
          <w:szCs w:val="30"/>
        </w:rPr>
      </w:pPr>
    </w:p>
    <w:p>
      <w:pPr>
        <w:spacing w:line="300" w:lineRule="auto"/>
        <w:jc w:val="center"/>
        <w:rPr>
          <w:rFonts w:hint="eastAsia" w:ascii="宋体" w:hAnsi="宋体"/>
          <w:b/>
          <w:bCs/>
          <w:sz w:val="36"/>
          <w:szCs w:val="30"/>
        </w:rPr>
      </w:pPr>
    </w:p>
    <w:p>
      <w:pPr>
        <w:spacing w:line="300" w:lineRule="auto"/>
        <w:jc w:val="center"/>
        <w:rPr>
          <w:rFonts w:hint="eastAsia" w:ascii="宋体" w:hAnsi="宋体"/>
          <w:b/>
          <w:bCs/>
          <w:sz w:val="36"/>
          <w:szCs w:val="30"/>
        </w:rPr>
      </w:pPr>
    </w:p>
    <w:p>
      <w:pPr>
        <w:spacing w:line="300" w:lineRule="auto"/>
        <w:jc w:val="center"/>
        <w:rPr>
          <w:rFonts w:hint="eastAsia" w:ascii="宋体" w:hAnsi="宋体"/>
          <w:b/>
          <w:bCs/>
          <w:sz w:val="36"/>
          <w:szCs w:val="30"/>
        </w:rPr>
      </w:pPr>
    </w:p>
    <w:p>
      <w:pPr>
        <w:spacing w:line="300" w:lineRule="auto"/>
        <w:jc w:val="center"/>
        <w:rPr>
          <w:rFonts w:hint="eastAsia" w:ascii="宋体" w:hAnsi="宋体"/>
          <w:b/>
          <w:bCs/>
          <w:sz w:val="36"/>
          <w:szCs w:val="30"/>
        </w:rPr>
      </w:pPr>
    </w:p>
    <w:p>
      <w:pPr>
        <w:spacing w:line="300" w:lineRule="auto"/>
        <w:jc w:val="center"/>
        <w:rPr>
          <w:rFonts w:ascii="宋体" w:hAnsi="宋体"/>
          <w:b/>
          <w:bCs/>
          <w:sz w:val="36"/>
          <w:szCs w:val="30"/>
        </w:rPr>
      </w:pPr>
      <w:r>
        <w:rPr>
          <w:rFonts w:hint="eastAsia" w:ascii="宋体" w:hAnsi="宋体"/>
          <w:b/>
          <w:bCs/>
          <w:sz w:val="36"/>
          <w:szCs w:val="30"/>
        </w:rPr>
        <w:t>第三部分   参评文件格式</w:t>
      </w:r>
    </w:p>
    <w:p>
      <w:pPr>
        <w:numPr>
          <w:ilvl w:val="0"/>
          <w:numId w:val="4"/>
        </w:numPr>
        <w:spacing w:before="312" w:beforeLines="100" w:after="312" w:afterLines="100" w:line="480" w:lineRule="auto"/>
        <w:ind w:left="854" w:hanging="854" w:hangingChars="356"/>
        <w:rPr>
          <w:rFonts w:ascii="宋体" w:hAnsi="宋体"/>
          <w:bCs/>
          <w:sz w:val="24"/>
          <w:szCs w:val="30"/>
        </w:rPr>
      </w:pPr>
      <w:r>
        <w:rPr>
          <w:rFonts w:hint="eastAsia" w:ascii="宋体" w:hAnsi="宋体"/>
          <w:bCs/>
          <w:sz w:val="24"/>
          <w:szCs w:val="30"/>
        </w:rPr>
        <w:t>封面</w:t>
      </w:r>
    </w:p>
    <w:p>
      <w:pPr>
        <w:numPr>
          <w:ilvl w:val="0"/>
          <w:numId w:val="4"/>
        </w:numPr>
        <w:spacing w:before="312" w:beforeLines="100" w:after="312" w:afterLines="100" w:line="480" w:lineRule="auto"/>
        <w:ind w:left="854" w:hanging="854" w:hangingChars="356"/>
        <w:rPr>
          <w:rFonts w:ascii="宋体" w:hAnsi="宋体"/>
          <w:bCs/>
          <w:sz w:val="24"/>
          <w:szCs w:val="30"/>
        </w:rPr>
      </w:pPr>
      <w:r>
        <w:rPr>
          <w:rFonts w:hint="eastAsia" w:ascii="宋体" w:hAnsi="宋体"/>
          <w:bCs/>
          <w:sz w:val="24"/>
          <w:szCs w:val="30"/>
        </w:rPr>
        <w:t>参评函</w:t>
      </w:r>
    </w:p>
    <w:p>
      <w:pPr>
        <w:numPr>
          <w:ilvl w:val="0"/>
          <w:numId w:val="4"/>
        </w:numPr>
        <w:spacing w:line="480" w:lineRule="auto"/>
        <w:rPr>
          <w:rFonts w:ascii="宋体" w:hAnsi="宋体"/>
          <w:bCs/>
          <w:sz w:val="24"/>
          <w:szCs w:val="30"/>
        </w:rPr>
      </w:pPr>
      <w:r>
        <w:rPr>
          <w:rFonts w:hint="eastAsia" w:ascii="宋体" w:hAnsi="宋体"/>
          <w:bCs/>
          <w:sz w:val="24"/>
          <w:szCs w:val="30"/>
        </w:rPr>
        <w:t xml:space="preserve"> 报价表</w:t>
      </w:r>
    </w:p>
    <w:p>
      <w:pPr>
        <w:numPr>
          <w:ilvl w:val="0"/>
          <w:numId w:val="4"/>
        </w:numPr>
        <w:spacing w:line="480" w:lineRule="auto"/>
        <w:rPr>
          <w:rFonts w:ascii="宋体" w:hAnsi="宋体"/>
          <w:sz w:val="24"/>
          <w:szCs w:val="30"/>
        </w:rPr>
      </w:pPr>
      <w:r>
        <w:rPr>
          <w:rFonts w:hint="eastAsia" w:ascii="宋体" w:hAnsi="宋体"/>
          <w:sz w:val="24"/>
          <w:szCs w:val="30"/>
        </w:rPr>
        <w:t xml:space="preserve"> 参评书附件（按商谈文件所列内容和要求逐项编写）</w:t>
      </w:r>
    </w:p>
    <w:p>
      <w:pPr>
        <w:spacing w:line="480" w:lineRule="auto"/>
        <w:rPr>
          <w:rFonts w:ascii="宋体" w:hAnsi="宋体"/>
          <w:sz w:val="24"/>
          <w:szCs w:val="30"/>
        </w:rPr>
      </w:pPr>
      <w:r>
        <w:rPr>
          <w:rFonts w:hint="eastAsia" w:ascii="宋体" w:hAnsi="宋体"/>
          <w:sz w:val="24"/>
          <w:szCs w:val="30"/>
        </w:rPr>
        <w:t>上述文件均为一式</w:t>
      </w:r>
      <w:r>
        <w:rPr>
          <w:rFonts w:hint="eastAsia" w:ascii="宋体" w:hAnsi="宋体"/>
          <w:sz w:val="24"/>
          <w:szCs w:val="30"/>
          <w:u w:val="single"/>
        </w:rPr>
        <w:t xml:space="preserve"> 6 </w:t>
      </w:r>
      <w:r>
        <w:rPr>
          <w:rFonts w:hint="eastAsia" w:ascii="宋体" w:hAnsi="宋体"/>
          <w:sz w:val="24"/>
          <w:szCs w:val="30"/>
        </w:rPr>
        <w:t>份，其中正本</w:t>
      </w:r>
      <w:r>
        <w:rPr>
          <w:rFonts w:hint="eastAsia" w:ascii="宋体" w:hAnsi="宋体"/>
          <w:sz w:val="24"/>
          <w:szCs w:val="30"/>
          <w:u w:val="single"/>
        </w:rPr>
        <w:t xml:space="preserve"> 1 </w:t>
      </w:r>
      <w:r>
        <w:rPr>
          <w:rFonts w:hint="eastAsia" w:ascii="宋体" w:hAnsi="宋体"/>
          <w:sz w:val="24"/>
          <w:szCs w:val="30"/>
        </w:rPr>
        <w:t>份，副本</w:t>
      </w:r>
      <w:r>
        <w:rPr>
          <w:rFonts w:hint="eastAsia" w:ascii="宋体" w:hAnsi="宋体"/>
          <w:sz w:val="24"/>
          <w:szCs w:val="30"/>
          <w:u w:val="single"/>
        </w:rPr>
        <w:t xml:space="preserve"> 5 </w:t>
      </w:r>
      <w:r>
        <w:rPr>
          <w:rFonts w:hint="eastAsia" w:ascii="宋体" w:hAnsi="宋体"/>
          <w:sz w:val="24"/>
          <w:szCs w:val="30"/>
        </w:rPr>
        <w:t>份，分别装订成册。</w:t>
      </w:r>
    </w:p>
    <w:p>
      <w:pPr>
        <w:spacing w:line="300" w:lineRule="auto"/>
        <w:ind w:left="750"/>
        <w:rPr>
          <w:rFonts w:ascii="宋体" w:hAnsi="宋体"/>
          <w:bCs/>
          <w:sz w:val="24"/>
          <w:szCs w:val="30"/>
        </w:rPr>
      </w:pPr>
    </w:p>
    <w:p>
      <w:pPr>
        <w:spacing w:line="300" w:lineRule="auto"/>
        <w:rPr>
          <w:rFonts w:ascii="宋体" w:hAnsi="宋体"/>
          <w:b/>
          <w:bCs/>
          <w:sz w:val="24"/>
          <w:szCs w:val="30"/>
        </w:rPr>
      </w:pPr>
    </w:p>
    <w:p>
      <w:pPr>
        <w:spacing w:line="300" w:lineRule="auto"/>
        <w:rPr>
          <w:rFonts w:ascii="宋体" w:hAnsi="宋体"/>
          <w:b/>
          <w:bCs/>
          <w:sz w:val="24"/>
          <w:szCs w:val="30"/>
        </w:rPr>
      </w:pPr>
    </w:p>
    <w:p>
      <w:pPr>
        <w:spacing w:line="300" w:lineRule="auto"/>
        <w:rPr>
          <w:rFonts w:ascii="宋体" w:hAnsi="宋体"/>
          <w:b/>
          <w:bCs/>
          <w:sz w:val="24"/>
          <w:szCs w:val="30"/>
        </w:rPr>
      </w:pPr>
      <w:bookmarkStart w:id="7" w:name="_GoBack"/>
      <w:bookmarkEnd w:id="7"/>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2"/>
    <w:multiLevelType w:val="multilevel"/>
    <w:tmpl w:val="00000002"/>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8"/>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3"/>
    <w:multiLevelType w:val="singleLevel"/>
    <w:tmpl w:val="00000003"/>
    <w:lvl w:ilvl="0" w:tentative="0">
      <w:start w:val="2"/>
      <w:numFmt w:val="decimal"/>
      <w:suff w:val="nothing"/>
      <w:lvlText w:val="%1、"/>
      <w:lvlJc w:val="left"/>
    </w:lvl>
  </w:abstractNum>
  <w:abstractNum w:abstractNumId="3">
    <w:nsid w:val="00000004"/>
    <w:multiLevelType w:val="multilevel"/>
    <w:tmpl w:val="000000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032266"/>
    <w:rsid w:val="00B95F13"/>
    <w:rsid w:val="00F039A8"/>
    <w:rsid w:val="0B6A66EC"/>
    <w:rsid w:val="35B86C47"/>
    <w:rsid w:val="4B032266"/>
    <w:rsid w:val="4F7B6C81"/>
    <w:rsid w:val="5E4D51D7"/>
    <w:rsid w:val="668B20A4"/>
    <w:rsid w:val="7B645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qFormat/>
    <w:uiPriority w:val="0"/>
    <w:pPr>
      <w:keepNext/>
      <w:keepLines/>
      <w:spacing w:before="260" w:after="260" w:line="416" w:lineRule="auto"/>
      <w:jc w:val="center"/>
      <w:outlineLvl w:val="2"/>
    </w:pPr>
    <w:rPr>
      <w:b/>
      <w:bCs/>
      <w:kern w:val="0"/>
      <w:sz w:val="28"/>
      <w:szCs w:val="32"/>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6">
    <w:name w:val="List Paragraph"/>
    <w:basedOn w:val="1"/>
    <w:qFormat/>
    <w:uiPriority w:val="0"/>
    <w:pPr>
      <w:ind w:firstLine="420" w:firstLineChars="200"/>
    </w:pPr>
    <w:rPr>
      <w:rFonts w:ascii="Calibri" w:hAnsi="Calibri"/>
      <w:szCs w:val="22"/>
    </w:rPr>
  </w:style>
  <w:style w:type="paragraph" w:customStyle="1" w:styleId="7">
    <w:name w:val="reader-word-layer"/>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731</Words>
  <Characters>4170</Characters>
  <Lines>34</Lines>
  <Paragraphs>9</Paragraphs>
  <TotalTime>0</TotalTime>
  <ScaleCrop>false</ScaleCrop>
  <LinksUpToDate>false</LinksUpToDate>
  <CharactersWithSpaces>4892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2020-06-04T00:46:00Z</dcterms:created>
  <dc:creator>成哥</dc:creator>
  <cp:lastModifiedBy>Life is terrific</cp:lastModifiedBy>
  <dcterms:modified xsi:type="dcterms:W3CDTF">2020-06-15T10:24:08Z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