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2" w:firstLineChars="200"/>
        <w:jc w:val="center"/>
        <w:rPr>
          <w:rFonts w:ascii="宋体" w:hAnsi="宋体"/>
          <w:b/>
          <w:bCs/>
          <w:sz w:val="28"/>
        </w:rPr>
      </w:pPr>
    </w:p>
    <w:p>
      <w:pPr>
        <w:ind w:firstLine="562" w:firstLineChars="200"/>
        <w:jc w:val="center"/>
        <w:rPr>
          <w:rFonts w:ascii="宋体" w:hAnsi="宋体"/>
          <w:b/>
          <w:bCs/>
          <w:sz w:val="28"/>
        </w:rPr>
      </w:pPr>
    </w:p>
    <w:p>
      <w:pPr>
        <w:ind w:firstLine="562" w:firstLineChars="200"/>
        <w:jc w:val="center"/>
        <w:rPr>
          <w:rFonts w:ascii="宋体" w:hAnsi="宋体"/>
          <w:b/>
          <w:bCs/>
          <w:sz w:val="28"/>
        </w:rPr>
      </w:pPr>
    </w:p>
    <w:p>
      <w:pPr>
        <w:ind w:firstLine="562" w:firstLineChars="200"/>
        <w:jc w:val="center"/>
        <w:rPr>
          <w:rFonts w:ascii="宋体" w:hAnsi="宋体"/>
          <w:b/>
          <w:bCs/>
          <w:sz w:val="28"/>
        </w:rPr>
      </w:pPr>
    </w:p>
    <w:p>
      <w:pPr>
        <w:jc w:val="center"/>
        <w:rPr>
          <w:rFonts w:ascii="宋体" w:hAnsi="宋体"/>
          <w:b/>
          <w:bCs/>
          <w:sz w:val="28"/>
        </w:rPr>
      </w:pPr>
    </w:p>
    <w:p>
      <w:pPr>
        <w:jc w:val="center"/>
        <w:rPr>
          <w:rFonts w:ascii="Times New Roman" w:hAnsi="Times New Roman"/>
          <w:b/>
          <w:bCs/>
          <w:sz w:val="28"/>
        </w:rPr>
      </w:pPr>
    </w:p>
    <w:p>
      <w:pPr>
        <w:jc w:val="center"/>
        <w:rPr>
          <w:rFonts w:ascii="Times New Roman" w:hAnsi="Times New Roman"/>
          <w:b/>
          <w:bCs/>
          <w:sz w:val="28"/>
        </w:rPr>
      </w:pPr>
    </w:p>
    <w:p>
      <w:pPr>
        <w:jc w:val="center"/>
        <w:rPr>
          <w:rFonts w:ascii="Times New Roman" w:hAnsi="Times New Roman" w:eastAsia="方正仿宋_GBK"/>
          <w:sz w:val="32"/>
          <w:szCs w:val="32"/>
        </w:rPr>
      </w:pPr>
      <w:r>
        <w:rPr>
          <w:rFonts w:ascii="Times New Roman" w:hAnsi="Times New Roman" w:eastAsia="方正仿宋_GBK"/>
          <w:sz w:val="32"/>
          <w:szCs w:val="32"/>
        </w:rPr>
        <w:t>连妇保〔20</w:t>
      </w:r>
      <w:r>
        <w:rPr>
          <w:rFonts w:hint="eastAsia" w:ascii="Times New Roman" w:hAnsi="Times New Roman" w:eastAsia="方正仿宋_GBK"/>
          <w:sz w:val="32"/>
          <w:szCs w:val="32"/>
          <w:lang w:val="en-US" w:eastAsia="zh-CN"/>
        </w:rPr>
        <w:t>22</w:t>
      </w:r>
      <w:r>
        <w:rPr>
          <w:rFonts w:ascii="Times New Roman" w:hAnsi="Times New Roman" w:eastAsia="方正仿宋_GBK"/>
          <w:sz w:val="32"/>
          <w:szCs w:val="32"/>
        </w:rPr>
        <w:t>〕</w:t>
      </w:r>
      <w:r>
        <w:rPr>
          <w:rFonts w:hint="eastAsia" w:ascii="Times New Roman" w:hAnsi="Times New Roman" w:eastAsia="方正仿宋_GBK"/>
          <w:sz w:val="32"/>
          <w:szCs w:val="32"/>
          <w:lang w:val="en-US" w:eastAsia="zh-CN"/>
        </w:rPr>
        <w:t>15</w:t>
      </w:r>
      <w:r>
        <w:rPr>
          <w:rFonts w:ascii="Times New Roman" w:hAnsi="Times New Roman" w:eastAsia="方正仿宋_GBK"/>
          <w:sz w:val="32"/>
          <w:szCs w:val="32"/>
        </w:rPr>
        <w:t>号</w:t>
      </w:r>
    </w:p>
    <w:p>
      <w:pPr>
        <w:spacing w:line="200" w:lineRule="exact"/>
        <w:ind w:firstLine="640" w:firstLineChars="200"/>
        <w:jc w:val="center"/>
        <w:rPr>
          <w:rFonts w:ascii="Times New Roman" w:hAnsi="Times New Roman" w:eastAsia="方正仿宋_GBK"/>
          <w:sz w:val="32"/>
          <w:szCs w:val="32"/>
        </w:rPr>
      </w:pPr>
    </w:p>
    <w:p>
      <w:pPr>
        <w:keepNext w:val="0"/>
        <w:keepLines w:val="0"/>
        <w:pageBreakBefore w:val="0"/>
        <w:kinsoku/>
        <w:wordWrap/>
        <w:overflowPunct/>
        <w:topLinePunct w:val="0"/>
        <w:autoSpaceDE/>
        <w:autoSpaceDN/>
        <w:bidi w:val="0"/>
        <w:adjustRightInd w:val="0"/>
        <w:snapToGrid w:val="0"/>
        <w:spacing w:line="560" w:lineRule="exact"/>
        <w:jc w:val="both"/>
        <w:rPr>
          <w:rFonts w:hint="eastAsia" w:ascii="黑体" w:hAnsi="黑体" w:eastAsia="黑体" w:cs="黑体"/>
          <w:color w:val="auto"/>
          <w:sz w:val="44"/>
          <w:szCs w:val="44"/>
          <w:lang w:eastAsia="zh-CN"/>
        </w:rPr>
      </w:pPr>
    </w:p>
    <w:p>
      <w:pPr>
        <w:keepNext w:val="0"/>
        <w:keepLines w:val="0"/>
        <w:pageBreakBefore w:val="0"/>
        <w:kinsoku/>
        <w:wordWrap/>
        <w:overflowPunct/>
        <w:topLinePunct w:val="0"/>
        <w:autoSpaceDE/>
        <w:autoSpaceDN/>
        <w:bidi w:val="0"/>
        <w:adjustRightInd w:val="0"/>
        <w:snapToGrid w:val="0"/>
        <w:spacing w:line="560" w:lineRule="exact"/>
        <w:jc w:val="center"/>
        <w:rPr>
          <w:rFonts w:hint="eastAsia" w:ascii="宋体" w:hAnsi="宋体" w:eastAsia="宋体" w:cs="宋体"/>
          <w:b/>
          <w:bCs/>
          <w:color w:val="auto"/>
          <w:sz w:val="44"/>
          <w:szCs w:val="44"/>
          <w:lang w:eastAsia="zh-CN"/>
        </w:rPr>
      </w:pPr>
      <w:r>
        <w:rPr>
          <w:rFonts w:hint="eastAsia" w:ascii="宋体" w:hAnsi="宋体" w:eastAsia="宋体" w:cs="宋体"/>
          <w:b/>
          <w:bCs/>
          <w:color w:val="auto"/>
          <w:sz w:val="44"/>
          <w:szCs w:val="44"/>
          <w:lang w:eastAsia="zh-CN"/>
        </w:rPr>
        <w:t>关于印发《</w:t>
      </w:r>
      <w:r>
        <w:rPr>
          <w:rFonts w:hint="eastAsia" w:ascii="宋体" w:hAnsi="宋体" w:eastAsia="宋体" w:cs="宋体"/>
          <w:b/>
          <w:bCs/>
          <w:color w:val="000000" w:themeColor="text1"/>
          <w:sz w:val="44"/>
          <w:szCs w:val="44"/>
          <w14:textFill>
            <w14:solidFill>
              <w14:schemeClr w14:val="tx1"/>
            </w14:solidFill>
          </w14:textFill>
        </w:rPr>
        <w:t>连云港市妇幼保健院“十四五”发展规划（2021-2025）</w:t>
      </w:r>
      <w:r>
        <w:rPr>
          <w:rFonts w:hint="eastAsia" w:ascii="宋体" w:hAnsi="宋体" w:eastAsia="宋体" w:cs="宋体"/>
          <w:b/>
          <w:bCs/>
          <w:color w:val="auto"/>
          <w:sz w:val="44"/>
          <w:szCs w:val="44"/>
          <w:lang w:eastAsia="zh-CN"/>
        </w:rPr>
        <w:t>》的通知</w:t>
      </w:r>
    </w:p>
    <w:p>
      <w:pPr>
        <w:pStyle w:val="2"/>
        <w:rPr>
          <w:rFonts w:hint="eastAsia"/>
          <w:lang w:eastAsia="zh-CN"/>
        </w:rPr>
      </w:pPr>
    </w:p>
    <w:p>
      <w:pPr>
        <w:keepNext w:val="0"/>
        <w:keepLines w:val="0"/>
        <w:pageBreakBefore w:val="0"/>
        <w:kinsoku/>
        <w:wordWrap/>
        <w:overflowPunct/>
        <w:topLinePunct w:val="0"/>
        <w:autoSpaceDE/>
        <w:autoSpaceDN/>
        <w:bidi w:val="0"/>
        <w:spacing w:line="560" w:lineRule="exact"/>
        <w:jc w:val="left"/>
        <w:rPr>
          <w:rFonts w:hint="default" w:ascii="Times New Roman" w:hAnsi="Times New Roman" w:eastAsia="仿宋" w:cs="Times New Roman"/>
          <w:color w:val="auto"/>
          <w:sz w:val="32"/>
          <w:szCs w:val="32"/>
          <w:lang w:eastAsia="zh-CN"/>
        </w:rPr>
      </w:pPr>
      <w:r>
        <w:rPr>
          <w:rFonts w:hint="default" w:ascii="Times New Roman" w:hAnsi="Times New Roman" w:eastAsia="仿宋" w:cs="Times New Roman"/>
          <w:color w:val="auto"/>
          <w:sz w:val="32"/>
          <w:szCs w:val="32"/>
          <w:lang w:eastAsia="zh-CN"/>
        </w:rPr>
        <w:t>各各科室：</w:t>
      </w:r>
    </w:p>
    <w:p>
      <w:pPr>
        <w:keepNext w:val="0"/>
        <w:keepLines w:val="0"/>
        <w:pageBreakBefore w:val="0"/>
        <w:kinsoku/>
        <w:wordWrap/>
        <w:overflowPunct/>
        <w:topLinePunct w:val="0"/>
        <w:autoSpaceDE/>
        <w:autoSpaceDN/>
        <w:bidi w:val="0"/>
        <w:spacing w:line="560" w:lineRule="exact"/>
        <w:ind w:firstLine="640" w:firstLineChars="200"/>
        <w:jc w:val="left"/>
        <w:rPr>
          <w:rFonts w:hint="default" w:ascii="Times New Roman" w:hAnsi="Times New Roman" w:eastAsia="仿宋" w:cs="Times New Roman"/>
          <w:color w:val="auto"/>
          <w:sz w:val="32"/>
          <w:szCs w:val="32"/>
          <w:lang w:eastAsia="zh-CN"/>
        </w:rPr>
      </w:pPr>
      <w:r>
        <w:rPr>
          <w:rFonts w:hint="default" w:ascii="Times New Roman" w:hAnsi="Times New Roman" w:eastAsia="仿宋" w:cs="Times New Roman"/>
          <w:color w:val="auto"/>
          <w:sz w:val="32"/>
          <w:szCs w:val="32"/>
          <w:lang w:eastAsia="zh-CN"/>
        </w:rPr>
        <w:t>现将《</w:t>
      </w:r>
      <w:r>
        <w:rPr>
          <w:rFonts w:hint="eastAsia" w:ascii="Times New Roman" w:hAnsi="Times New Roman" w:eastAsia="仿宋" w:cs="Times New Roman"/>
          <w:color w:val="auto"/>
          <w:sz w:val="32"/>
          <w:szCs w:val="32"/>
          <w:lang w:eastAsia="zh-CN"/>
        </w:rPr>
        <w:t>连云港市妇幼保健院“十四五”发展规划（2021-2025）</w:t>
      </w:r>
      <w:r>
        <w:rPr>
          <w:rFonts w:hint="default" w:ascii="Times New Roman" w:hAnsi="Times New Roman" w:eastAsia="仿宋" w:cs="Times New Roman"/>
          <w:color w:val="auto"/>
          <w:sz w:val="32"/>
          <w:szCs w:val="32"/>
          <w:lang w:eastAsia="zh-CN"/>
        </w:rPr>
        <w:t>》印发给你们，请遵照执行。</w:t>
      </w:r>
    </w:p>
    <w:p>
      <w:pPr>
        <w:pStyle w:val="2"/>
        <w:rPr>
          <w:rFonts w:hint="default" w:ascii="Times New Roman" w:hAnsi="Times New Roman" w:eastAsia="仿宋" w:cs="Times New Roman"/>
          <w:color w:val="auto"/>
          <w:sz w:val="32"/>
          <w:szCs w:val="32"/>
          <w:lang w:eastAsia="zh-CN"/>
        </w:rPr>
      </w:pPr>
    </w:p>
    <w:p>
      <w:pPr>
        <w:pStyle w:val="3"/>
        <w:rPr>
          <w:rFonts w:hint="default" w:ascii="Times New Roman" w:hAnsi="Times New Roman" w:cs="Times New Roman"/>
          <w:sz w:val="32"/>
          <w:szCs w:val="32"/>
          <w:lang w:eastAsia="zh-CN"/>
        </w:rPr>
      </w:pPr>
    </w:p>
    <w:p>
      <w:pPr>
        <w:pStyle w:val="2"/>
        <w:rPr>
          <w:rFonts w:hint="default" w:ascii="Times New Roman" w:hAnsi="Times New Roman" w:eastAsia="仿宋" w:cs="Times New Roman"/>
          <w:color w:val="auto"/>
          <w:sz w:val="32"/>
          <w:szCs w:val="32"/>
          <w:lang w:eastAsia="zh-CN"/>
        </w:rPr>
      </w:pPr>
    </w:p>
    <w:p>
      <w:pPr>
        <w:pStyle w:val="3"/>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 xml:space="preserve">                      </w:t>
      </w:r>
      <w:r>
        <w:rPr>
          <w:rFonts w:hint="eastAsia" w:ascii="Times New Roman" w:hAnsi="Times New Roman" w:eastAsia="仿宋" w:cs="Times New Roman"/>
          <w:color w:val="auto"/>
          <w:sz w:val="32"/>
          <w:szCs w:val="32"/>
          <w:lang w:val="en-US" w:eastAsia="zh-CN"/>
        </w:rPr>
        <w:t xml:space="preserve">     </w:t>
      </w:r>
      <w:r>
        <w:rPr>
          <w:rFonts w:hint="default" w:ascii="Times New Roman" w:hAnsi="Times New Roman" w:eastAsia="仿宋" w:cs="Times New Roman"/>
          <w:color w:val="auto"/>
          <w:sz w:val="32"/>
          <w:szCs w:val="32"/>
          <w:lang w:val="en-US" w:eastAsia="zh-CN"/>
        </w:rPr>
        <w:t xml:space="preserve"> 连云港市妇幼保健院</w:t>
      </w:r>
    </w:p>
    <w:p>
      <w:pPr>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 xml:space="preserve">                               2022年4月6日</w:t>
      </w:r>
    </w:p>
    <w:p>
      <w:pPr>
        <w:pStyle w:val="2"/>
        <w:rPr>
          <w:rFonts w:hint="default"/>
          <w:lang w:val="en-US" w:eastAsia="zh-CN"/>
        </w:rPr>
      </w:pPr>
    </w:p>
    <w:p>
      <w:pPr>
        <w:spacing w:line="600" w:lineRule="exact"/>
        <w:rPr>
          <w:rFonts w:ascii="Times New Roman" w:hAnsi="Times New Roman" w:eastAsia="方正仿宋_GBK"/>
          <w:b/>
          <w:sz w:val="32"/>
          <w:szCs w:val="32"/>
          <w:u w:val="single"/>
        </w:rPr>
      </w:pPr>
      <w:r>
        <w:rPr>
          <w:rFonts w:ascii="Times New Roman" w:hAnsi="Times New Roman" w:eastAsia="方正仿宋_GBK"/>
          <w:b/>
          <w:sz w:val="32"/>
          <w:szCs w:val="32"/>
        </w:rPr>
        <mc:AlternateContent>
          <mc:Choice Requires="wps">
            <w:drawing>
              <wp:anchor distT="0" distB="0" distL="114300" distR="114300" simplePos="0" relativeHeight="251669504" behindDoc="0" locked="0" layoutInCell="1" allowOverlap="1">
                <wp:simplePos x="0" y="0"/>
                <wp:positionH relativeFrom="column">
                  <wp:posOffset>-133350</wp:posOffset>
                </wp:positionH>
                <wp:positionV relativeFrom="paragraph">
                  <wp:posOffset>350520</wp:posOffset>
                </wp:positionV>
                <wp:extent cx="58674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8674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0.5pt;margin-top:27.6pt;height:0pt;width:462pt;z-index:251669504;mso-width-relative:page;mso-height-relative:page;" filled="f" stroked="t" coordsize="21600,21600" o:gfxdata="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kRIXwNYAAAAJAQAADwAAAAAAAAABACAAAAAiAAAAZHJzL2Rvd25yZXYueG1s&#10;UEsBAhQAFAAAAAgAh07iQJq5wR/6AQAA8gMAAA4AAAAAAAAAAQAgAAAAJQEAAGRycy9lMm9Eb2Mu&#10;eG1sUEsFBgAAAAAGAAYAWQEAAJEFAAAAAA==&#10;">
                <v:fill on="f" focussize="0,0"/>
                <v:stroke color="#00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val="0"/>
        <w:snapToGrid w:val="0"/>
        <w:spacing w:line="560" w:lineRule="exact"/>
        <w:jc w:val="center"/>
        <w:rPr>
          <w:rFonts w:hint="eastAsia" w:ascii="方正小标宋_GBK" w:hAnsi="Times New Roman" w:eastAsia="方正小标宋_GBK" w:cs="Times New Roman"/>
          <w:color w:val="auto"/>
          <w:sz w:val="44"/>
          <w:szCs w:val="44"/>
          <w:highlight w:val="none"/>
          <w:lang w:eastAsia="zh-CN"/>
        </w:rPr>
      </w:pPr>
      <w:r>
        <w:rPr>
          <w:rFonts w:ascii="Times New Roman" w:hAnsi="Times New Roman" w:eastAsia="方正仿宋_GBK" w:cs="Times New Roman"/>
          <w:sz w:val="32"/>
          <w:szCs w:val="32"/>
        </w:rPr>
        <mc:AlternateContent>
          <mc:Choice Requires="wps">
            <w:drawing>
              <wp:anchor distT="0" distB="0" distL="114300" distR="114300" simplePos="0" relativeHeight="251668480" behindDoc="0" locked="0" layoutInCell="1" allowOverlap="1">
                <wp:simplePos x="0" y="0"/>
                <wp:positionH relativeFrom="column">
                  <wp:posOffset>-119380</wp:posOffset>
                </wp:positionH>
                <wp:positionV relativeFrom="paragraph">
                  <wp:posOffset>438150</wp:posOffset>
                </wp:positionV>
                <wp:extent cx="582930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8293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9.4pt;margin-top:34.5pt;height:0pt;width:459pt;z-index:251668480;mso-width-relative:page;mso-height-relative:page;" filled="f" stroked="t" coordsize="21600,21600" o:gfxdata="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DR7hdYAAAAJAQAADwAAAAAAAAABACAAAAAiAAAAZHJzL2Rvd25yZXYueG1s&#10;UEsBAhQAFAAAAAgAh07iQEHyx6n6AQAA8gMAAA4AAAAAAAAAAQAgAAAAJQEAAGRycy9lMm9Eb2Mu&#10;eG1sUEsFBgAAAAAGAAYAWQEAAJEFAAAAAA==&#10;">
                <v:fill on="f" focussize="0,0"/>
                <v:stroke color="#000000" joinstyle="round"/>
                <v:imagedata o:title=""/>
                <o:lock v:ext="edit" aspectratio="f"/>
              </v:line>
            </w:pict>
          </mc:Fallback>
        </mc:AlternateContent>
      </w:r>
      <w:r>
        <w:rPr>
          <w:rFonts w:ascii="Times New Roman" w:hAnsi="Times New Roman" w:eastAsia="方正仿宋_GBK" w:cs="Times New Roman"/>
          <w:sz w:val="32"/>
          <w:szCs w:val="32"/>
        </w:rPr>
        <w:t>连云港市妇幼保健院办公室         20</w:t>
      </w:r>
      <w:r>
        <w:rPr>
          <w:rFonts w:hint="eastAsia" w:ascii="Times New Roman" w:hAnsi="Times New Roman" w:eastAsia="方正仿宋_GBK" w:cs="Times New Roman"/>
          <w:sz w:val="32"/>
          <w:szCs w:val="32"/>
          <w:lang w:val="en-US" w:eastAsia="zh-CN"/>
        </w:rPr>
        <w:t>22</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4</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6</w:t>
      </w:r>
      <w:r>
        <w:rPr>
          <w:rFonts w:ascii="Times New Roman" w:hAnsi="Times New Roman" w:eastAsia="方正仿宋_GBK" w:cs="Times New Roman"/>
          <w:sz w:val="32"/>
          <w:szCs w:val="32"/>
        </w:rPr>
        <w:t xml:space="preserve">日印发     </w:t>
      </w:r>
    </w:p>
    <w:p>
      <w:pPr>
        <w:spacing w:line="540" w:lineRule="exact"/>
        <w:jc w:val="center"/>
        <w:rPr>
          <w:rFonts w:hint="eastAsia" w:ascii="宋体" w:hAnsi="宋体" w:eastAsia="宋体" w:cs="宋体"/>
          <w:b/>
          <w:bCs/>
          <w:color w:val="000000" w:themeColor="text1"/>
          <w:sz w:val="44"/>
          <w:szCs w:val="44"/>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连云港市妇幼保健院“十四五”发展规划（2021-2025）</w:t>
      </w:r>
    </w:p>
    <w:p>
      <w:pPr>
        <w:spacing w:line="540" w:lineRule="exact"/>
        <w:jc w:val="center"/>
        <w:rPr>
          <w:rFonts w:ascii="仿宋_GB2312" w:hAnsi="仿宋_GB2312" w:eastAsia="仿宋_GB2312" w:cs="仿宋_GB2312"/>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十四五”时期，是全面贯彻落实习近平新时代中国特色社会主义思想特别是习近平总书记对江苏工作重要讲话指示精神的重要时期，是开启全面建设社会主义现代化新征程、奋力谱写“强富美高”新港城的关键阶段。为推动“十四五”期间妇幼健康事业高质量发展，增进妇女儿童健康福祉，助力建设健康连云港，根据《中共中央国务院关于优化生育政策促进人口长期均衡发展的决定》《中国妇女发展纲要（2021-2030年）》《中国儿童发展纲要（2021-2030年）》和《江苏省妇女发展规划（2021-2025年）》《江苏省儿童发展规划（2021-2025年）》以及《江苏省“十四五”卫生健康发展规划》精神，制定本规划。</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一、发展基础</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（一）“十三五”取得的主要成绩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“十三五”期间，市妇幼保健院坚持以习近平新时代中国特色社会主义思想为指导，紧紧围绕“高质发展 后发先至”主题主线，将满足妇女儿童日益增长的健康需求作为工作的出发点和着力点，切实加强妇幼健康服务体系建设，持续提升服务能力和水平，为全市妇女儿童健康事业发展作出了巨大贡献。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——总体运行稳中向好。</w:t>
      </w:r>
      <w:r>
        <w:rPr>
          <w:rFonts w:hint="default" w:ascii="Times New Roman" w:hAnsi="Times New Roman" w:eastAsia="仿宋_GB2312" w:cs="Times New Roman"/>
          <w:color w:val="000000" w:themeColor="text1"/>
          <w:sz w:val="32"/>
          <w:szCs w:val="32"/>
          <w14:textFill>
            <w14:solidFill>
              <w14:schemeClr w14:val="tx1"/>
            </w14:solidFill>
          </w14:textFill>
        </w:rPr>
        <w:t>期末医院实际开放床位较2016年初提高了76%。年总门急诊量由初期的71万人次最高增加至75万人次。年总出院量由期初1.9万人次最高增加至2.1万人次。年分娩量由期初8397例最高增至9991例。年业务收入由期初2.45亿元增加至3.9亿元，增幅达59%。医院总资产由期初2.53亿元增加至6.68亿元，增幅达164%。</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——高质发展成果丰硕。</w:t>
      </w:r>
      <w:r>
        <w:rPr>
          <w:rFonts w:hint="default" w:ascii="Times New Roman" w:hAnsi="Times New Roman" w:eastAsia="仿宋_GB2312" w:cs="Times New Roman"/>
          <w:color w:val="000000" w:themeColor="text1"/>
          <w:sz w:val="32"/>
          <w:szCs w:val="32"/>
          <w14:textFill>
            <w14:solidFill>
              <w14:schemeClr w14:val="tx1"/>
            </w14:solidFill>
          </w14:textFill>
        </w:rPr>
        <w:t>投入5.2亿元、用时3年完成了新院区建设并投入试运行。新院区项目成功入选国家级妇幼保健机构优秀建设项目，并获得建筑设计类、布局流程类、装修装饰类三项“全优”。率先在省内实行妇幼保健机构大部制改革并取得明显成效，圆满完成妇幼保健和计划生育资源整合，顺利通过新一轮三级甲等妇幼保健院复核。扎实推进医药卫生体制改革，成立连云港市妇幼健康联盟并发展30家成员单位，建成2个紧密型医联体，设立3个基层孵化中心。成为南京市妇幼保健院集团成员单位。获评全国实施妇女儿童发展纲要先进集体、全国改善医疗服务示范医院、全国出生缺陷救助项目优秀项目实施单位、全国母婴友好医院、省妇幼健康服务工作集体三等功、省文明单位、省志愿服务爱心单位、全市卫生计生工作绩效管理最佳单位等。创成1个省级主委单位、2个市级主委单位和4个市级质控中心挂靠单位。</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——公益职能更加彰显。</w:t>
      </w:r>
      <w:r>
        <w:rPr>
          <w:rFonts w:hint="default" w:ascii="Times New Roman" w:hAnsi="Times New Roman" w:eastAsia="仿宋_GB2312" w:cs="Times New Roman"/>
          <w:color w:val="000000" w:themeColor="text1"/>
          <w:sz w:val="32"/>
          <w:szCs w:val="32"/>
          <w14:textFill>
            <w14:solidFill>
              <w14:schemeClr w14:val="tx1"/>
            </w14:solidFill>
          </w14:textFill>
        </w:rPr>
        <w:t>扎实完成基本公共卫生和重大妇幼卫生各项指令性任务。助推实施“健康宝贝”“健康妈妈”“健康生殖”三大惠民工程，建成省级新生儿危急重症救治中心和市级孕产妇危急重症救治中心，建立全国首家市级人工智能宫颈癌筛查防治技术中心。全市孕产妇系统管理率、3岁以下儿童系统管理率分别为：94.4%、95.08%，婚前医学检查率达到88.07%。累计完成农村妇女补服叶酸9.17万人次。出生缺陷防控工作取得突破性进展，全市新生儿听力筛查率和新生儿遗传代谢性疾病筛查率达98%，孕妇产前筛查率达85%。开展全民健康教育，连续5年成功举办市妇幼健康节、暖心包送健康活动。建立生命科普馆健康教育基地，每年组织健康公益类活动上百场，荣获江苏省生殖健康技术服务人员技能大赛团体二等奖、出生缺陷防控技能竞赛团体三等奖。</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——特色优势巩固提升。</w:t>
      </w:r>
      <w:r>
        <w:rPr>
          <w:rFonts w:hint="default" w:ascii="Times New Roman" w:hAnsi="Times New Roman" w:eastAsia="仿宋_GB2312" w:cs="Times New Roman"/>
          <w:color w:val="000000" w:themeColor="text1"/>
          <w:sz w:val="32"/>
          <w:szCs w:val="32"/>
          <w14:textFill>
            <w14:solidFill>
              <w14:schemeClr w14:val="tx1"/>
            </w14:solidFill>
          </w14:textFill>
        </w:rPr>
        <w:t>深化学专科发展内涵，产科获批省级临床重点专科、省妇幼健康重点学科；产前诊断学等5个学科获批省妇幼健康重点学科建设项目；医学检验科、儿童呼吸科获批市卫健委省级临床重点专科培育项目；优生学科等6个专科通过市级重点专科验收；妇产科护理通过市临床护理重点专科建设项目验收。引进新技术新项目184项。成功创建国家级儿童早期发展示范基地、全国PAC示范基地、妇孺国医堂；成立高强度聚焦超声技术合作华东分中心；成立婴幼儿托育机构及产后康养病区。实行责任制整体护理，先后推出导乐陪伴服务、“袋鼠式”护理、新生儿母乳库等优护举措，优质护理病房覆盖率达100%。</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——人才结构优化升级。</w:t>
      </w:r>
      <w:r>
        <w:rPr>
          <w:rFonts w:hint="default" w:ascii="Times New Roman" w:hAnsi="Times New Roman" w:eastAsia="仿宋_GB2312" w:cs="Times New Roman"/>
          <w:color w:val="000000" w:themeColor="text1"/>
          <w:sz w:val="32"/>
          <w:szCs w:val="32"/>
          <w14:textFill>
            <w14:solidFill>
              <w14:schemeClr w14:val="tx1"/>
            </w14:solidFill>
          </w14:textFill>
        </w:rPr>
        <w:t>积极推进人事薪酬制度改革，实行编制备案制，目前共有100余人纳入备案制管理。积极拓宽引才渠道，引进硕士以上研究生86名、紧缺岗位副高以上职称人才26名，柔性引进国内外知名专家、团队12位（个），建立名医工作室8个、特聘专家工作室1个。切实改善人才结构层次，获批省双创博士2名、省333二层次人才1名、三层次人才6名、苏北发展特聘专家9名、江苏省“六个一工程”拔尖人才1名、市政府特殊津贴2名、市“521”工程28名；在职培养博士10名、硕士100余名。引进全日制护理研究生3人，现有本科学历321人，本科及以上学历人员从2015年底的51.4%提升至85.26%；培养国家级专科护士1人、省级专科护士2人、市级专科护士25人。</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——科教内涵丰富拓展。</w:t>
      </w:r>
      <w:r>
        <w:rPr>
          <w:rFonts w:hint="default" w:ascii="Times New Roman" w:hAnsi="Times New Roman" w:eastAsia="仿宋_GB2312" w:cs="Times New Roman"/>
          <w:color w:val="000000" w:themeColor="text1"/>
          <w:sz w:val="32"/>
          <w:szCs w:val="32"/>
          <w14:textFill>
            <w14:solidFill>
              <w14:schemeClr w14:val="tx1"/>
            </w14:solidFill>
          </w14:textFill>
        </w:rPr>
        <w:t>申报各级各类科研项目258项，获批立项71项，省级及以上项目立项28项，其中国家卫健委能力建设与继教中心项目1项、省自然科学基金1项、省社会发展面上项目2项。荣获各级各类科技成果奖项35项，其中省科学技术三等奖1项、市科技进步奖2项。发表各类科技论文419篇，其中SCI论文30篇、中华论文14篇、核心期刊41篇，主编及参编著作8部，获得专利11项。现有省“科教强卫工程”青年人才1名，省妇幼健康重点人才及青年人才3名，市“科教强卫工程”医学人才29名，市妇幼健康重点人才及青年人才9名。增挂南京医科大学康达学院附属医院。联合招收在职研究生148名，承担3个班级整班制教学，自培妇产科、儿科规培学员42名。获评扬州大学医学院硕导13名，康达学院兼职教师21名。获高校教师资格证/高校岗前培训合格证书师资124名。获批并举办国家级、省、市级继教项目143项。建成1500平方米的中心实验室，为学科和人才发展提供强有力的支撑。</w:t>
      </w:r>
    </w:p>
    <w:p>
      <w:pPr>
        <w:keepNext w:val="0"/>
        <w:keepLines w:val="0"/>
        <w:pageBreakBefore w:val="0"/>
        <w:widowControl w:val="0"/>
        <w:kinsoku/>
        <w:wordWrap/>
        <w:overflowPunct/>
        <w:topLinePunct w:val="0"/>
        <w:autoSpaceDE/>
        <w:autoSpaceDN/>
        <w:bidi w:val="0"/>
        <w:adjustRightInd/>
        <w:snapToGrid/>
        <w:spacing w:line="540" w:lineRule="exact"/>
        <w:ind w:firstLine="602" w:firstLineChars="200"/>
        <w:jc w:val="both"/>
        <w:textAlignment w:val="auto"/>
        <w:rPr>
          <w:rFonts w:hint="default" w:ascii="Times New Roman" w:hAnsi="Times New Roman" w:eastAsia="仿宋_GB2312" w:cs="Times New Roman"/>
          <w:b/>
          <w:bCs/>
          <w:color w:val="000000" w:themeColor="text1"/>
          <w:sz w:val="30"/>
          <w:szCs w:val="30"/>
          <w14:textFill>
            <w14:solidFill>
              <w14:schemeClr w14:val="tx1"/>
            </w14:solidFill>
          </w14:textFill>
        </w:rPr>
      </w:pPr>
      <w:r>
        <w:rPr>
          <w:rFonts w:hint="default" w:ascii="Times New Roman" w:hAnsi="Times New Roman" w:eastAsia="仿宋_GB2312" w:cs="Times New Roman"/>
          <w:b/>
          <w:bCs/>
          <w:color w:val="000000" w:themeColor="text1"/>
          <w:sz w:val="30"/>
          <w:szCs w:val="30"/>
          <w14:textFill>
            <w14:solidFill>
              <w14:schemeClr w14:val="tx1"/>
            </w14:solidFill>
          </w14:textFill>
        </w:rPr>
        <w:t>十二五、十三五时期科教主要数据对比</w:t>
      </w:r>
    </w:p>
    <w:tbl>
      <w:tblPr>
        <w:tblStyle w:val="9"/>
        <w:tblpPr w:leftFromText="180" w:rightFromText="180" w:vertAnchor="text" w:horzAnchor="page" w:tblpX="1897" w:tblpY="150"/>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2211"/>
        <w:gridCol w:w="2265"/>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2410"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项目     时间</w:t>
            </w:r>
          </w:p>
        </w:tc>
        <w:tc>
          <w:tcPr>
            <w:tcW w:w="2211"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十二五</w:t>
            </w:r>
          </w:p>
        </w:tc>
        <w:tc>
          <w:tcPr>
            <w:tcW w:w="2265"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十三五</w:t>
            </w:r>
          </w:p>
        </w:tc>
        <w:tc>
          <w:tcPr>
            <w:tcW w:w="1636"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增幅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科研项目</w:t>
            </w:r>
          </w:p>
        </w:tc>
        <w:tc>
          <w:tcPr>
            <w:tcW w:w="2211"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46</w:t>
            </w:r>
          </w:p>
        </w:tc>
        <w:tc>
          <w:tcPr>
            <w:tcW w:w="2265"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71</w:t>
            </w:r>
          </w:p>
        </w:tc>
        <w:tc>
          <w:tcPr>
            <w:tcW w:w="1636"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54.35%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发表论文</w:t>
            </w:r>
          </w:p>
        </w:tc>
        <w:tc>
          <w:tcPr>
            <w:tcW w:w="2211"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387</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（SCI及中华6）</w:t>
            </w:r>
          </w:p>
        </w:tc>
        <w:tc>
          <w:tcPr>
            <w:tcW w:w="2265"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419</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（SCI及中华44）</w:t>
            </w:r>
          </w:p>
        </w:tc>
        <w:tc>
          <w:tcPr>
            <w:tcW w:w="1636"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8.27%</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(633.33%)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科研奖项</w:t>
            </w:r>
          </w:p>
        </w:tc>
        <w:tc>
          <w:tcPr>
            <w:tcW w:w="2211"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15</w:t>
            </w:r>
          </w:p>
        </w:tc>
        <w:tc>
          <w:tcPr>
            <w:tcW w:w="2265"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35</w:t>
            </w:r>
          </w:p>
        </w:tc>
        <w:tc>
          <w:tcPr>
            <w:tcW w:w="1636"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133.33%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继续医学教育项目</w:t>
            </w:r>
          </w:p>
        </w:tc>
        <w:tc>
          <w:tcPr>
            <w:tcW w:w="2211"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69</w:t>
            </w: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143</w:t>
            </w:r>
          </w:p>
        </w:tc>
        <w:tc>
          <w:tcPr>
            <w:tcW w:w="1636"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107.25%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规培教学（名）</w:t>
            </w:r>
          </w:p>
        </w:tc>
        <w:tc>
          <w:tcPr>
            <w:tcW w:w="2211"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15</w:t>
            </w: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42</w:t>
            </w:r>
          </w:p>
        </w:tc>
        <w:tc>
          <w:tcPr>
            <w:tcW w:w="1636"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实习教学（名）</w:t>
            </w:r>
          </w:p>
        </w:tc>
        <w:tc>
          <w:tcPr>
            <w:tcW w:w="2211"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159</w:t>
            </w: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478</w:t>
            </w:r>
          </w:p>
        </w:tc>
        <w:tc>
          <w:tcPr>
            <w:tcW w:w="1636"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200.63%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进修教学（名）</w:t>
            </w:r>
          </w:p>
        </w:tc>
        <w:tc>
          <w:tcPr>
            <w:tcW w:w="2211"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80</w:t>
            </w: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91</w:t>
            </w:r>
          </w:p>
        </w:tc>
        <w:tc>
          <w:tcPr>
            <w:tcW w:w="1636"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13.75%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整班制教学（名）</w:t>
            </w:r>
          </w:p>
        </w:tc>
        <w:tc>
          <w:tcPr>
            <w:tcW w:w="2211"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30</w:t>
            </w: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99</w:t>
            </w:r>
          </w:p>
        </w:tc>
        <w:tc>
          <w:tcPr>
            <w:tcW w:w="1636"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230.00%</w:t>
            </w:r>
          </w:p>
        </w:tc>
      </w:tr>
    </w:tbl>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——综合管理提质增效。</w:t>
      </w:r>
      <w:r>
        <w:rPr>
          <w:rFonts w:hint="default" w:ascii="Times New Roman" w:hAnsi="Times New Roman" w:eastAsia="仿宋_GB2312" w:cs="Times New Roman"/>
          <w:color w:val="000000" w:themeColor="text1"/>
          <w:sz w:val="32"/>
          <w:szCs w:val="32"/>
          <w14:textFill>
            <w14:solidFill>
              <w14:schemeClr w14:val="tx1"/>
            </w14:solidFill>
          </w14:textFill>
        </w:rPr>
        <w:t>稳步推进精细化管理，医院全面预算控制系统上线并良性运行，结合大部制改革完善了配套绩效考核方案，深入实施后勤社会化管理。加快信息化建设步伐，建成信息化集成平台，布局并完成新院区基础智能化建设，顺利入驻省互联网医院平台。扎实有效地做好党风廉政建设和反腐败工作，构建完善不敢腐不能腐不想腐的长效机制，营造风清气正的医疗环境。</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——文化建设多点开花。</w:t>
      </w:r>
      <w:r>
        <w:rPr>
          <w:rFonts w:hint="default" w:ascii="Times New Roman" w:hAnsi="Times New Roman" w:eastAsia="仿宋_GB2312" w:cs="Times New Roman"/>
          <w:color w:val="000000" w:themeColor="text1"/>
          <w:sz w:val="32"/>
          <w:szCs w:val="32"/>
          <w14:textFill>
            <w14:solidFill>
              <w14:schemeClr w14:val="tx1"/>
            </w14:solidFill>
          </w14:textFill>
        </w:rPr>
        <w:t>坚持以创文创卫为抓手，以传播践行“家文化”理念为主线，加强精神文明建设，弘扬和培育社会主义核心价值观，塑造妇幼文化特色，传递妇幼正能量。成功举办三十周年院庆、文化盛典、微电影大赛等主题活动，培育“我是妇幼使者”“爱·妇幼号”新时代文明实践直通车等系列文化品牌，“暖心包、送健康”项目荣获第三届“连云港市精神文明建设工作十大创新品牌”，“妇幼使者”项目获评我市十佳志愿者服务项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（二）存在问题及不足</w:t>
      </w:r>
    </w:p>
    <w:p>
      <w:pPr>
        <w:pStyle w:val="4"/>
        <w:keepNext w:val="0"/>
        <w:keepLines w:val="0"/>
        <w:pageBreakBefore w:val="0"/>
        <w:widowControl w:val="0"/>
        <w:kinsoku/>
        <w:wordWrap/>
        <w:overflowPunct/>
        <w:topLinePunct w:val="0"/>
        <w:autoSpaceDE/>
        <w:autoSpaceDN/>
        <w:bidi w:val="0"/>
        <w:adjustRightInd/>
        <w:snapToGrid/>
        <w:spacing w:after="0" w:line="540" w:lineRule="exact"/>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b/>
          <w:bCs/>
          <w:color w:val="000000" w:themeColor="text1"/>
          <w:sz w:val="32"/>
          <w:szCs w:val="32"/>
          <w14:textFill>
            <w14:solidFill>
              <w14:schemeClr w14:val="tx1"/>
            </w14:solidFill>
          </w14:textFill>
        </w:rPr>
        <w:t>1.人才引培力度有待加强。</w:t>
      </w:r>
      <w:r>
        <w:rPr>
          <w:rFonts w:hint="default" w:ascii="Times New Roman" w:hAnsi="Times New Roman" w:eastAsia="仿宋_GB2312" w:cs="Times New Roman"/>
          <w:color w:val="000000" w:themeColor="text1"/>
          <w:sz w:val="32"/>
          <w:szCs w:val="32"/>
          <w14:textFill>
            <w14:solidFill>
              <w14:schemeClr w14:val="tx1"/>
            </w14:solidFill>
          </w14:textFill>
        </w:rPr>
        <w:t xml:space="preserve">高精尖人才及科研型人才引进力度不足，高水平学科带头人缺乏，面临优质人才引不来，或引进来留不住的局面；对现有人才的培养管理质量不高，未充分发挥人才效能。    </w:t>
      </w:r>
    </w:p>
    <w:p>
      <w:pPr>
        <w:pStyle w:val="4"/>
        <w:keepNext w:val="0"/>
        <w:keepLines w:val="0"/>
        <w:pageBreakBefore w:val="0"/>
        <w:widowControl w:val="0"/>
        <w:kinsoku/>
        <w:wordWrap/>
        <w:overflowPunct/>
        <w:topLinePunct w:val="0"/>
        <w:autoSpaceDE/>
        <w:autoSpaceDN/>
        <w:bidi w:val="0"/>
        <w:adjustRightInd/>
        <w:snapToGrid/>
        <w:spacing w:after="0" w:line="540" w:lineRule="exact"/>
        <w:ind w:firstLine="643"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2.重量级科研成果仍欠缺。</w:t>
      </w:r>
      <w:r>
        <w:rPr>
          <w:rFonts w:hint="default" w:ascii="Times New Roman" w:hAnsi="Times New Roman" w:eastAsia="仿宋_GB2312" w:cs="Times New Roman"/>
          <w:color w:val="000000" w:themeColor="text1"/>
          <w:sz w:val="32"/>
          <w:szCs w:val="32"/>
          <w14:textFill>
            <w14:solidFill>
              <w14:schemeClr w14:val="tx1"/>
            </w14:solidFill>
          </w14:textFill>
        </w:rPr>
        <w:t>集中且有实力的学科科研团队集群尚未形成，高水平论文及国家级科研项目立项仍少，国家自然科学基金项目仍未获突破。</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3.信息化支撑力相对不足。</w:t>
      </w:r>
      <w:r>
        <w:rPr>
          <w:rFonts w:hint="default" w:ascii="Times New Roman" w:hAnsi="Times New Roman" w:eastAsia="仿宋_GB2312" w:cs="Times New Roman"/>
          <w:color w:val="000000" w:themeColor="text1"/>
          <w:sz w:val="32"/>
          <w:szCs w:val="32"/>
          <w14:textFill>
            <w14:solidFill>
              <w14:schemeClr w14:val="tx1"/>
            </w14:solidFill>
          </w14:textFill>
        </w:rPr>
        <w:t>医院信息化整体水平与高质发展需求仍有差距，无法满足电子病历应用水平分级5级-6级、互联互通成熟度四甲、智慧服务3级等要求。</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4.专科联盟建设遭遇瓶颈。</w:t>
      </w:r>
      <w:r>
        <w:rPr>
          <w:rFonts w:hint="default" w:ascii="Times New Roman" w:hAnsi="Times New Roman" w:eastAsia="仿宋_GB2312" w:cs="Times New Roman"/>
          <w:color w:val="000000" w:themeColor="text1"/>
          <w:sz w:val="32"/>
          <w:szCs w:val="32"/>
          <w14:textFill>
            <w14:solidFill>
              <w14:schemeClr w14:val="tx1"/>
            </w14:solidFill>
          </w14:textFill>
        </w:rPr>
        <w:t>紧密型专科联盟合作过程中，因体制及管理方式等差异，且缺乏医保、人才等政策支持，无法实现人、财、物的统一管理，融合难度较大。</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（三）“十四五”面临的机遇和挑战</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shd w:val="clear" w:color="auto" w:fill="FFFFFF"/>
          <w14:textFill>
            <w14:solidFill>
              <w14:schemeClr w14:val="tx1"/>
            </w14:solidFill>
          </w14:textFill>
        </w:rPr>
        <w:t>1.发展机遇。</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w:t>
      </w:r>
      <w:r>
        <w:rPr>
          <w:rStyle w:val="11"/>
          <w:rFonts w:hint="default" w:ascii="Times New Roman" w:hAnsi="Times New Roman" w:eastAsia="仿宋_GB2312" w:cs="Times New Roman"/>
          <w:i w:val="0"/>
          <w:color w:val="000000" w:themeColor="text1"/>
          <w:sz w:val="32"/>
          <w:szCs w:val="32"/>
          <w:shd w:val="clear" w:color="auto" w:fill="FFFFFF"/>
          <w14:textFill>
            <w14:solidFill>
              <w14:schemeClr w14:val="tx1"/>
            </w14:solidFill>
          </w14:textFill>
        </w:rPr>
        <w:t>十四五</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w:t>
      </w:r>
      <w:r>
        <w:rPr>
          <w:rStyle w:val="11"/>
          <w:rFonts w:hint="default" w:ascii="Times New Roman" w:hAnsi="Times New Roman" w:eastAsia="仿宋_GB2312" w:cs="Times New Roman"/>
          <w:i w:val="0"/>
          <w:color w:val="000000" w:themeColor="text1"/>
          <w:sz w:val="32"/>
          <w:szCs w:val="32"/>
          <w:shd w:val="clear" w:color="auto" w:fill="FFFFFF"/>
          <w14:textFill>
            <w14:solidFill>
              <w14:schemeClr w14:val="tx1"/>
            </w14:solidFill>
          </w14:textFill>
        </w:rPr>
        <w:t>时期是我国开启</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全面建设社会主义现代化国家新征程、向</w:t>
      </w:r>
      <w:r>
        <w:rPr>
          <w:rStyle w:val="11"/>
          <w:rFonts w:hint="default" w:ascii="Times New Roman" w:hAnsi="Times New Roman" w:eastAsia="仿宋_GB2312" w:cs="Times New Roman"/>
          <w:i w:val="0"/>
          <w:color w:val="000000" w:themeColor="text1"/>
          <w:sz w:val="32"/>
          <w:szCs w:val="32"/>
          <w:shd w:val="clear" w:color="auto" w:fill="FFFFFF"/>
          <w14:textFill>
            <w14:solidFill>
              <w14:schemeClr w14:val="tx1"/>
            </w14:solidFill>
          </w14:textFill>
        </w:rPr>
        <w:t>第二个百年奋斗</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目标进军的第一个五年。</w:t>
      </w:r>
      <w:r>
        <w:rPr>
          <w:rFonts w:hint="default" w:ascii="Times New Roman" w:hAnsi="Times New Roman" w:eastAsia="仿宋_GB2312" w:cs="Times New Roman"/>
          <w:color w:val="000000" w:themeColor="text1"/>
          <w:sz w:val="32"/>
          <w:szCs w:val="32"/>
          <w14:textFill>
            <w14:solidFill>
              <w14:schemeClr w14:val="tx1"/>
            </w14:solidFill>
          </w14:textFill>
        </w:rPr>
        <w:t>《“健康中国2030”规划纲要》《母婴安全行动提升计划（2021-2025年）》《健康儿童行动提升计划(2021-2025年)》《“健康江苏2030”规划纲要》《“健康连云港2030”行动计划》等文件相继出台，进一步明确了促进全民健康的实施路径和具体行动，也为妇幼健康事业发展提供了行动指南。</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2.面临挑战。</w:t>
      </w:r>
      <w:r>
        <w:rPr>
          <w:rFonts w:hint="default" w:ascii="Times New Roman" w:hAnsi="Times New Roman" w:eastAsia="仿宋_GB2312" w:cs="Times New Roman"/>
          <w:color w:val="000000" w:themeColor="text1"/>
          <w:sz w:val="32"/>
          <w:szCs w:val="32"/>
          <w14:textFill>
            <w14:solidFill>
              <w14:schemeClr w14:val="tx1"/>
            </w14:solidFill>
          </w14:textFill>
        </w:rPr>
        <w:t>进入新时代，随着经济社会全面发展，广大妇女儿童健康需求呈现高质量、多层次、个性化特点。“十四五”时期，我市妇幼健康事业发展将面临着生育意愿降低,出生人口数减少；高危孕产妇比例增高，出生缺陷防控形势不容乐观；婴儿死亡率在全省仍居高位；生育全程服务覆盖不充分；儿童早期发展亟需加强；宫颈癌和乳腺癌高发态势仍未扭转；妇幼健康服务供给能力区域间差异较大等局面。</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二、总体思路</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（一）指导思想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以习近平新时代中国特色社会主义思想为指导，全面贯彻党的十九大和十九届历次全会精神，深入践行新发展理念，坚持新时期卫生与健康工作方针，构建“大健康、大妇幼”新格局，按照“争当表率、争做示范、走在前列”的总要求，以妇女儿童健康为中心，以高质量发展为主题，优化资源配置，补齐短板弱项，创新体制机制，提升服务能力，加强服务监管，为妇女儿童提供全过程全周期的健康服务，为“健康连云港”建设提供有力支撑。</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（二）基本原则</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1. 坚持预防为主，推进防治结合。</w:t>
      </w:r>
      <w:r>
        <w:rPr>
          <w:rFonts w:hint="default" w:ascii="Times New Roman" w:hAnsi="Times New Roman" w:eastAsia="仿宋_GB2312" w:cs="Times New Roman"/>
          <w:color w:val="000000" w:themeColor="text1"/>
          <w:sz w:val="32"/>
          <w:szCs w:val="32"/>
          <w14:textFill>
            <w14:solidFill>
              <w14:schemeClr w14:val="tx1"/>
            </w14:solidFill>
          </w14:textFill>
        </w:rPr>
        <w:t>坚持“以保健为中心，以保障生殖健康为目的，保健与临床相结合，面向群体，面向基层和预防为主”的妇幼卫生工作方针，推进服务模式从以治病为中心向以健康为中心转变，完善功能，优化服务，强化妇女儿童健康全程管理，更好满足广大妇女儿童日益增长的医疗保健需求。</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2. 坚持问题导向，提升服务效能。</w:t>
      </w:r>
      <w:r>
        <w:rPr>
          <w:rFonts w:hint="default" w:ascii="Times New Roman" w:hAnsi="Times New Roman" w:eastAsia="仿宋_GB2312" w:cs="Times New Roman"/>
          <w:color w:val="000000" w:themeColor="text1"/>
          <w:sz w:val="32"/>
          <w:szCs w:val="32"/>
          <w14:textFill>
            <w14:solidFill>
              <w14:schemeClr w14:val="tx1"/>
            </w14:solidFill>
          </w14:textFill>
        </w:rPr>
        <w:t>聚焦妇女儿童的健康服务需求和主要健康问题，进一步完善妇幼健康服务体系，拓展服务内涵，提升服务能力和质量，不断满足妇女儿童重大疾病防治需要，持续保障孕产妇死亡率、婴儿死亡率等核心指标稳中有降，持续解决儿童近视、肥胖、孤独症等突出问题。</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3. 坚持改革创新，促进协调发展。</w:t>
      </w:r>
      <w:r>
        <w:rPr>
          <w:rFonts w:hint="default" w:ascii="Times New Roman" w:hAnsi="Times New Roman" w:eastAsia="仿宋_GB2312" w:cs="Times New Roman"/>
          <w:color w:val="000000" w:themeColor="text1"/>
          <w:sz w:val="32"/>
          <w:szCs w:val="32"/>
          <w14:textFill>
            <w14:solidFill>
              <w14:schemeClr w14:val="tx1"/>
            </w14:solidFill>
          </w14:textFill>
        </w:rPr>
        <w:t>改革管理体制，完善运行机制，激发活力。加强妇幼专科联盟建设和分级诊疗制度建设，发挥信息化的支撑和保障作用，推动服务要素上下流动、优质资源下沉，实现专家共享、临床共享、科研共享，促进区域协同发展，全面提升妇幼健康整体服务水平。</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（三）主要发展指标</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b/>
          <w:bCs/>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b/>
          <w:bCs/>
          <w:color w:val="000000" w:themeColor="text1"/>
          <w:sz w:val="30"/>
          <w:szCs w:val="30"/>
          <w14:textFill>
            <w14:solidFill>
              <w14:schemeClr w14:val="tx1"/>
            </w14:solidFill>
          </w14:textFill>
        </w:rPr>
      </w:pPr>
      <w:r>
        <w:rPr>
          <w:rFonts w:hint="default" w:ascii="Times New Roman" w:hAnsi="Times New Roman" w:eastAsia="仿宋_GB2312" w:cs="Times New Roman"/>
          <w:b/>
          <w:bCs/>
          <w:color w:val="000000" w:themeColor="text1"/>
          <w:sz w:val="30"/>
          <w:szCs w:val="30"/>
          <w14:textFill>
            <w14:solidFill>
              <w14:schemeClr w14:val="tx1"/>
            </w14:solidFill>
          </w14:textFill>
        </w:rPr>
        <w:t>服务人群健康水平指标</w:t>
      </w:r>
    </w:p>
    <w:tbl>
      <w:tblPr>
        <w:tblStyle w:val="9"/>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26"/>
        <w:gridCol w:w="1830"/>
        <w:gridCol w:w="2040"/>
        <w:gridCol w:w="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6"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-856615</wp:posOffset>
                      </wp:positionH>
                      <wp:positionV relativeFrom="paragraph">
                        <wp:posOffset>27305</wp:posOffset>
                      </wp:positionV>
                      <wp:extent cx="2495550" cy="647700"/>
                      <wp:effectExtent l="1270" t="4445" r="17780" b="14605"/>
                      <wp:wrapNone/>
                      <wp:docPr id="2" name="直接连接符 2"/>
                      <wp:cNvGraphicFramePr/>
                      <a:graphic xmlns:a="http://schemas.openxmlformats.org/drawingml/2006/main">
                        <a:graphicData uri="http://schemas.microsoft.com/office/word/2010/wordprocessingShape">
                          <wps:wsp>
                            <wps:cNvCnPr/>
                            <wps:spPr>
                              <a:xfrm>
                                <a:off x="1089660" y="915670"/>
                                <a:ext cx="2495550" cy="647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7.45pt;margin-top:2.15pt;height:51pt;width:196.5pt;z-index:251660288;mso-width-relative:page;mso-height-relative:page;" filled="f" stroked="t" coordsize="21600,21600" o:gfxdata="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awNnYAAAACgEAAA8AAAAAAAAAAQAgAAAAIgAAAGRycy9kb3ducmV2LnhtbFBLAQIU&#10;ABQAAAAIAIdO4kBgV93V8wEAAMEDAAAOAAAAAAAAAAEAIAAAACcBAABkcnMvZTJvRG9jLnhtbFBL&#10;BQYAAAAABgAGAFkBAACMBQAAAAA=&#10;">
                      <v:fill on="f" focussize="0,0"/>
                      <v:stroke weight="0.5pt" color="#000000 [3213]" miterlimit="8" joinstyle="miter"/>
                      <v:imagedata o:title=""/>
                      <o:lock v:ext="edit" aspectratio="f"/>
                    </v:line>
                  </w:pict>
                </mc:Fallback>
              </mc:AlternateContent>
            </w:r>
            <w:r>
              <w:rPr>
                <w:rFonts w:hint="default" w:ascii="Times New Roman" w:hAnsi="Times New Roman" w:eastAsia="仿宋_GB2312" w:cs="Times New Roman"/>
                <w:color w:val="000000" w:themeColor="text1"/>
                <w:sz w:val="30"/>
                <w:szCs w:val="30"/>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175260</wp:posOffset>
                      </wp:positionH>
                      <wp:positionV relativeFrom="paragraph">
                        <wp:posOffset>252730</wp:posOffset>
                      </wp:positionV>
                      <wp:extent cx="514350" cy="427990"/>
                      <wp:effectExtent l="0" t="0" r="0" b="10160"/>
                      <wp:wrapSquare wrapText="bothSides"/>
                      <wp:docPr id="3" name="文本框 3"/>
                      <wp:cNvGraphicFramePr/>
                      <a:graphic xmlns:a="http://schemas.openxmlformats.org/drawingml/2006/main">
                        <a:graphicData uri="http://schemas.microsoft.com/office/word/2010/wordprocessingShape">
                          <wps:wsp>
                            <wps:cNvSpPr txBox="1"/>
                            <wps:spPr>
                              <a:xfrm>
                                <a:off x="1175385" y="1058545"/>
                                <a:ext cx="514350" cy="4279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方正仿宋_GBK" w:hAnsi="方正仿宋_GBK" w:eastAsia="方正仿宋_GBK" w:cs="方正仿宋_GBK"/>
                                    </w:rPr>
                                  </w:pPr>
                                  <w:r>
                                    <w:rPr>
                                      <w:rFonts w:hint="eastAsia" w:ascii="方正仿宋_GBK" w:hAnsi="方正仿宋_GBK" w:eastAsia="方正仿宋_GBK" w:cs="方正仿宋_GBK"/>
                                    </w:rPr>
                                    <w:t>指标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8pt;margin-top:19.9pt;height:33.7pt;width:40.5pt;mso-wrap-distance-bottom:0pt;mso-wrap-distance-left:9pt;mso-wrap-distance-right:9pt;mso-wrap-distance-top:0pt;z-index:251661312;mso-width-relative:page;mso-height-relative:page;" fillcolor="#FFFFFF [3201]" filled="t" stroked="f" coordsize="21600,21600" o:gfxdata="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FbyYNvTAAAA&#10;CQEAAA8AAAAAAAAAAQAgAAAAIgAAAGRycy9kb3ducmV2LnhtbFBLAQIUABQAAAAIAIdO4kDlqkB9&#10;WwIAAJoEAAAOAAAAAAAAAAEAIAAAACIBAABkcnMvZTJvRG9jLnhtbFBLBQYAAAAABgAGAFkBAADv&#10;BQAAAAA=&#10;">
                      <v:fill on="t" focussize="0,0"/>
                      <v:stroke on="f" weight="0.5pt"/>
                      <v:imagedata o:title=""/>
                      <o:lock v:ext="edit" aspectratio="f"/>
                      <v:textbox>
                        <w:txbxContent>
                          <w:p>
                            <w:pPr>
                              <w:rPr>
                                <w:rFonts w:ascii="方正仿宋_GBK" w:hAnsi="方正仿宋_GBK" w:eastAsia="方正仿宋_GBK" w:cs="方正仿宋_GBK"/>
                              </w:rPr>
                            </w:pPr>
                            <w:r>
                              <w:rPr>
                                <w:rFonts w:hint="eastAsia" w:ascii="方正仿宋_GBK" w:hAnsi="方正仿宋_GBK" w:eastAsia="方正仿宋_GBK" w:cs="方正仿宋_GBK"/>
                              </w:rPr>
                              <w:t>指标</w:t>
                            </w:r>
                          </w:p>
                        </w:txbxContent>
                      </v:textbox>
                      <w10:wrap type="square"/>
                    </v:shape>
                  </w:pict>
                </mc:Fallback>
              </mc:AlternateContent>
            </w:r>
            <w:r>
              <w:rPr>
                <w:rFonts w:hint="default" w:ascii="Times New Roman" w:hAnsi="Times New Roman" w:eastAsia="仿宋_GB2312" w:cs="Times New Roman"/>
                <w:color w:val="000000" w:themeColor="text1"/>
                <w:sz w:val="30"/>
                <w:szCs w:val="30"/>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1804670</wp:posOffset>
                      </wp:positionH>
                      <wp:positionV relativeFrom="paragraph">
                        <wp:posOffset>5080</wp:posOffset>
                      </wp:positionV>
                      <wp:extent cx="514350" cy="447040"/>
                      <wp:effectExtent l="0" t="0" r="0" b="10160"/>
                      <wp:wrapSquare wrapText="bothSides"/>
                      <wp:docPr id="8" name="文本框 8"/>
                      <wp:cNvGraphicFramePr/>
                      <a:graphic xmlns:a="http://schemas.openxmlformats.org/drawingml/2006/main">
                        <a:graphicData uri="http://schemas.microsoft.com/office/word/2010/wordprocessingShape">
                          <wps:wsp>
                            <wps:cNvSpPr txBox="1"/>
                            <wps:spPr>
                              <a:xfrm>
                                <a:off x="0" y="0"/>
                                <a:ext cx="514350" cy="4470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方正仿宋_GBK" w:hAnsi="方正仿宋_GBK" w:eastAsia="方正仿宋_GBK" w:cs="方正仿宋_GBK"/>
                                    </w:rPr>
                                  </w:pPr>
                                  <w:r>
                                    <w:rPr>
                                      <w:rFonts w:hint="eastAsia" w:ascii="方正仿宋_GBK" w:hAnsi="方正仿宋_GBK" w:eastAsia="方正仿宋_GBK" w:cs="方正仿宋_GBK"/>
                                    </w:rPr>
                                    <w:t>区间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2.1pt;margin-top:0.4pt;height:35.2pt;width:40.5pt;mso-wrap-distance-bottom:0pt;mso-wrap-distance-left:9pt;mso-wrap-distance-right:9pt;mso-wrap-distance-top:0pt;z-index:251662336;mso-width-relative:page;mso-height-relative:page;" fillcolor="#FFFFFF [3201]" filled="t" stroked="f" coordsize="21600,21600" o:gfxdata="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BlTiv0gAAAAcBAAAPAAAAAAAAAAEA&#10;IAAAACIAAABkcnMvZG93bnJldi54bWxQSwECFAAUAAAACACHTuJA2sBXrE4CAACOBAAADgAAAAAA&#10;AAABACAAAAAhAQAAZHJzL2Uyb0RvYy54bWxQSwUGAAAAAAYABgBZAQAA4QUAAAAA&#10;">
                      <v:fill on="t" focussize="0,0"/>
                      <v:stroke on="f" weight="0.5pt"/>
                      <v:imagedata o:title=""/>
                      <o:lock v:ext="edit" aspectratio="f"/>
                      <v:textbox>
                        <w:txbxContent>
                          <w:p>
                            <w:pPr>
                              <w:rPr>
                                <w:rFonts w:ascii="方正仿宋_GBK" w:hAnsi="方正仿宋_GBK" w:eastAsia="方正仿宋_GBK" w:cs="方正仿宋_GBK"/>
                              </w:rPr>
                            </w:pPr>
                            <w:r>
                              <w:rPr>
                                <w:rFonts w:hint="eastAsia" w:ascii="方正仿宋_GBK" w:hAnsi="方正仿宋_GBK" w:eastAsia="方正仿宋_GBK" w:cs="方正仿宋_GBK"/>
                              </w:rPr>
                              <w:t>区间</w:t>
                            </w:r>
                          </w:p>
                        </w:txbxContent>
                      </v:textbox>
                      <w10:wrap type="square"/>
                    </v:shape>
                  </w:pict>
                </mc:Fallback>
              </mc:AlternateContent>
            </w:r>
          </w:p>
        </w:tc>
        <w:tc>
          <w:tcPr>
            <w:tcW w:w="183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十三五末</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（院水平）</w:t>
            </w:r>
          </w:p>
        </w:tc>
        <w:tc>
          <w:tcPr>
            <w:tcW w:w="204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十四五末</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（院指标</w:t>
            </w:r>
            <w:r>
              <w:rPr>
                <w:rFonts w:hint="default" w:ascii="Times New Roman" w:hAnsi="Times New Roman" w:eastAsia="仿宋_GB2312" w:cs="Times New Roman"/>
                <w:color w:val="000000" w:themeColor="text1"/>
                <w:sz w:val="30"/>
                <w:szCs w:val="30"/>
                <w:vertAlign w:val="superscript"/>
                <w14:textFill>
                  <w14:solidFill>
                    <w14:schemeClr w14:val="tx1"/>
                  </w14:solidFill>
                </w14:textFill>
              </w:rPr>
              <w:t>②</w:t>
            </w:r>
            <w:r>
              <w:rPr>
                <w:rFonts w:hint="default" w:ascii="Times New Roman" w:hAnsi="Times New Roman" w:eastAsia="仿宋_GB2312" w:cs="Times New Roman"/>
                <w:color w:val="000000" w:themeColor="text1"/>
                <w:sz w:val="30"/>
                <w:szCs w:val="30"/>
                <w14:textFill>
                  <w14:solidFill>
                    <w14:schemeClr w14:val="tx1"/>
                  </w14:solidFill>
                </w14:textFill>
              </w:rPr>
              <w:t>）</w:t>
            </w:r>
          </w:p>
        </w:tc>
        <w:tc>
          <w:tcPr>
            <w:tcW w:w="533"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4126"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孕产妇死亡率</w:t>
            </w:r>
          </w:p>
        </w:tc>
        <w:tc>
          <w:tcPr>
            <w:tcW w:w="1830"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5.51/10万</w:t>
            </w:r>
          </w:p>
        </w:tc>
        <w:tc>
          <w:tcPr>
            <w:tcW w:w="2040"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7/10万以内</w:t>
            </w:r>
          </w:p>
        </w:tc>
        <w:tc>
          <w:tcPr>
            <w:tcW w:w="533"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6"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婴儿死亡率</w:t>
            </w:r>
          </w:p>
        </w:tc>
        <w:tc>
          <w:tcPr>
            <w:tcW w:w="1830"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2.95‰</w:t>
            </w:r>
          </w:p>
        </w:tc>
        <w:tc>
          <w:tcPr>
            <w:tcW w:w="2040"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4‰以内</w:t>
            </w:r>
          </w:p>
        </w:tc>
        <w:tc>
          <w:tcPr>
            <w:tcW w:w="533"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6"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5岁以下儿童死亡率</w:t>
            </w:r>
          </w:p>
        </w:tc>
        <w:tc>
          <w:tcPr>
            <w:tcW w:w="1830"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4.57‰</w:t>
            </w:r>
          </w:p>
        </w:tc>
        <w:tc>
          <w:tcPr>
            <w:tcW w:w="2040"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5‰以内</w:t>
            </w:r>
          </w:p>
        </w:tc>
        <w:tc>
          <w:tcPr>
            <w:tcW w:w="533"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6"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孕产妇系统管理率</w:t>
            </w:r>
          </w:p>
        </w:tc>
        <w:tc>
          <w:tcPr>
            <w:tcW w:w="1830"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94.40%</w:t>
            </w:r>
          </w:p>
        </w:tc>
        <w:tc>
          <w:tcPr>
            <w:tcW w:w="2040"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95%以上</w:t>
            </w:r>
          </w:p>
        </w:tc>
        <w:tc>
          <w:tcPr>
            <w:tcW w:w="533"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6"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0-6岁儿童健康管理率</w:t>
            </w:r>
          </w:p>
        </w:tc>
        <w:tc>
          <w:tcPr>
            <w:tcW w:w="1830"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97.25%</w:t>
            </w:r>
          </w:p>
        </w:tc>
        <w:tc>
          <w:tcPr>
            <w:tcW w:w="2040"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98%以上</w:t>
            </w:r>
          </w:p>
        </w:tc>
        <w:tc>
          <w:tcPr>
            <w:tcW w:w="533"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6"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孕产妇产前筛查率</w:t>
            </w:r>
          </w:p>
        </w:tc>
        <w:tc>
          <w:tcPr>
            <w:tcW w:w="1830"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94.64%</w:t>
            </w:r>
          </w:p>
        </w:tc>
        <w:tc>
          <w:tcPr>
            <w:tcW w:w="2040"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98%以上</w:t>
            </w:r>
          </w:p>
        </w:tc>
        <w:tc>
          <w:tcPr>
            <w:tcW w:w="533"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6"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新生儿疾病筛查率</w:t>
            </w:r>
          </w:p>
        </w:tc>
        <w:tc>
          <w:tcPr>
            <w:tcW w:w="1830"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99.70%</w:t>
            </w:r>
          </w:p>
        </w:tc>
        <w:tc>
          <w:tcPr>
            <w:tcW w:w="2040" w:type="dxa"/>
          </w:tcPr>
          <w:p>
            <w:pPr>
              <w:keepNext w:val="0"/>
              <w:keepLines w:val="0"/>
              <w:pageBreakBefore w:val="0"/>
              <w:widowControl w:val="0"/>
              <w:tabs>
                <w:tab w:val="left" w:pos="275"/>
                <w:tab w:val="center" w:pos="972"/>
              </w:tabs>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ab/>
            </w:r>
            <w:r>
              <w:rPr>
                <w:rFonts w:hint="default" w:ascii="Times New Roman" w:hAnsi="Times New Roman" w:eastAsia="仿宋_GB2312" w:cs="Times New Roman"/>
                <w:color w:val="000000" w:themeColor="text1"/>
                <w:sz w:val="30"/>
                <w:szCs w:val="30"/>
                <w14:textFill>
                  <w14:solidFill>
                    <w14:schemeClr w14:val="tx1"/>
                  </w14:solidFill>
                </w14:textFill>
              </w:rPr>
              <w:t xml:space="preserve"> 99%以上</w:t>
            </w:r>
          </w:p>
        </w:tc>
        <w:tc>
          <w:tcPr>
            <w:tcW w:w="533"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6"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新生儿疾病确诊病例干预率</w:t>
            </w:r>
          </w:p>
        </w:tc>
        <w:tc>
          <w:tcPr>
            <w:tcW w:w="1830"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100%</w:t>
            </w:r>
          </w:p>
        </w:tc>
        <w:tc>
          <w:tcPr>
            <w:tcW w:w="2040"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100%</w:t>
            </w:r>
          </w:p>
        </w:tc>
        <w:tc>
          <w:tcPr>
            <w:tcW w:w="533"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4126"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两癌筛查目标人群覆盖率</w:t>
            </w:r>
          </w:p>
        </w:tc>
        <w:tc>
          <w:tcPr>
            <w:tcW w:w="1830"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85.48%</w:t>
            </w:r>
            <w:r>
              <w:rPr>
                <w:rFonts w:hint="default" w:ascii="Times New Roman" w:hAnsi="Times New Roman" w:eastAsia="仿宋_GB2312" w:cs="Times New Roman"/>
                <w:color w:val="000000" w:themeColor="text1"/>
                <w:sz w:val="30"/>
                <w:szCs w:val="30"/>
                <w:vertAlign w:val="superscript"/>
                <w14:textFill>
                  <w14:solidFill>
                    <w14:schemeClr w14:val="tx1"/>
                  </w14:solidFill>
                </w14:textFill>
              </w:rPr>
              <w:t>①</w:t>
            </w:r>
          </w:p>
        </w:tc>
        <w:tc>
          <w:tcPr>
            <w:tcW w:w="2040"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35-64岁：50%</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35-45岁：70%</w:t>
            </w:r>
          </w:p>
        </w:tc>
        <w:tc>
          <w:tcPr>
            <w:tcW w:w="533"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6"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宫颈癌早诊率</w:t>
            </w:r>
          </w:p>
        </w:tc>
        <w:tc>
          <w:tcPr>
            <w:tcW w:w="1830"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96.91%</w:t>
            </w:r>
          </w:p>
        </w:tc>
        <w:tc>
          <w:tcPr>
            <w:tcW w:w="2040"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90%以上</w:t>
            </w:r>
          </w:p>
        </w:tc>
        <w:tc>
          <w:tcPr>
            <w:tcW w:w="533"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6"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乳腺癌早诊率</w:t>
            </w:r>
          </w:p>
        </w:tc>
        <w:tc>
          <w:tcPr>
            <w:tcW w:w="1830"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80%</w:t>
            </w:r>
          </w:p>
        </w:tc>
        <w:tc>
          <w:tcPr>
            <w:tcW w:w="2040"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70%以上</w:t>
            </w:r>
          </w:p>
        </w:tc>
        <w:tc>
          <w:tcPr>
            <w:tcW w:w="533"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6"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6个月以内婴儿纯母乳喂养率</w:t>
            </w:r>
          </w:p>
        </w:tc>
        <w:tc>
          <w:tcPr>
            <w:tcW w:w="1830"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75.03%</w:t>
            </w:r>
          </w:p>
        </w:tc>
        <w:tc>
          <w:tcPr>
            <w:tcW w:w="2040"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50%以上</w:t>
            </w:r>
          </w:p>
        </w:tc>
        <w:tc>
          <w:tcPr>
            <w:tcW w:w="533"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注：①按照2020年两癌报表中的34-64岁人口数测算</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②“十四五末”院指标不低于省“十四五”妇幼健康事业发展规划相关指标</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b/>
          <w:bCs/>
          <w:color w:val="000000" w:themeColor="text1"/>
          <w:sz w:val="30"/>
          <w:szCs w:val="30"/>
          <w14:textFill>
            <w14:solidFill>
              <w14:schemeClr w14:val="tx1"/>
            </w14:solidFill>
          </w14:textFill>
        </w:rPr>
      </w:pPr>
      <w:r>
        <w:rPr>
          <w:rFonts w:hint="default" w:ascii="Times New Roman" w:hAnsi="Times New Roman" w:eastAsia="仿宋_GB2312" w:cs="Times New Roman"/>
          <w:b/>
          <w:bCs/>
          <w:color w:val="000000" w:themeColor="text1"/>
          <w:sz w:val="30"/>
          <w:szCs w:val="30"/>
          <w14:textFill>
            <w14:solidFill>
              <w14:schemeClr w14:val="tx1"/>
            </w14:solidFill>
          </w14:textFill>
        </w:rPr>
        <w:t>妇幼机构建设水平指标</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49"/>
        <w:gridCol w:w="2092"/>
        <w:gridCol w:w="1770"/>
        <w:gridCol w:w="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trPr>
        <w:tc>
          <w:tcPr>
            <w:tcW w:w="3849"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-718185</wp:posOffset>
                      </wp:positionH>
                      <wp:positionV relativeFrom="paragraph">
                        <wp:posOffset>36830</wp:posOffset>
                      </wp:positionV>
                      <wp:extent cx="2437130" cy="774065"/>
                      <wp:effectExtent l="1270" t="4445" r="19050" b="21590"/>
                      <wp:wrapNone/>
                      <wp:docPr id="9" name="直接连接符 9"/>
                      <wp:cNvGraphicFramePr/>
                      <a:graphic xmlns:a="http://schemas.openxmlformats.org/drawingml/2006/main">
                        <a:graphicData uri="http://schemas.microsoft.com/office/word/2010/wordprocessingShape">
                          <wps:wsp>
                            <wps:cNvCnPr/>
                            <wps:spPr>
                              <a:xfrm>
                                <a:off x="1089660" y="915670"/>
                                <a:ext cx="2437130" cy="7740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6.55pt;margin-top:2.9pt;height:60.95pt;width:191.9pt;z-index:251663360;mso-width-relative:page;mso-height-relative:page;" filled="f" stroked="t" coordsize="21600,21600" o:gfxdata="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6hGwNcAAAAKAQAADwAAAAAAAAABACAAAAAiAAAAZHJzL2Rvd25yZXYueG1sUEsBAhQA&#10;FAAAAAgAh07iQDCY3efzAQAAwQMAAA4AAAAAAAAAAQAgAAAAJgEAAGRycy9lMm9Eb2MueG1sUEsF&#10;BgAAAAAGAAYAWQEAAIsFAAAAAA==&#10;">
                      <v:fill on="f" focussize="0,0"/>
                      <v:stroke weight="0.5pt" color="#000000 [3213]" miterlimit="8" joinstyle="miter"/>
                      <v:imagedata o:title=""/>
                      <o:lock v:ext="edit" aspectratio="f"/>
                    </v:line>
                  </w:pict>
                </mc:Fallback>
              </mc:AlternateContent>
            </w:r>
            <w:r>
              <w:rPr>
                <w:rFonts w:hint="default" w:ascii="Times New Roman" w:hAnsi="Times New Roman" w:eastAsia="仿宋_GB2312" w:cs="Times New Roman"/>
                <w:color w:val="000000" w:themeColor="text1"/>
                <w:sz w:val="30"/>
                <w:szCs w:val="30"/>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1861185</wp:posOffset>
                      </wp:positionH>
                      <wp:positionV relativeFrom="paragraph">
                        <wp:posOffset>4445</wp:posOffset>
                      </wp:positionV>
                      <wp:extent cx="514350" cy="476250"/>
                      <wp:effectExtent l="0" t="0" r="0" b="0"/>
                      <wp:wrapSquare wrapText="bothSides"/>
                      <wp:docPr id="11" name="文本框 11"/>
                      <wp:cNvGraphicFramePr/>
                      <a:graphic xmlns:a="http://schemas.openxmlformats.org/drawingml/2006/main">
                        <a:graphicData uri="http://schemas.microsoft.com/office/word/2010/wordprocessingShape">
                          <wps:wsp>
                            <wps:cNvSpPr txBox="1"/>
                            <wps:spPr>
                              <a:xfrm>
                                <a:off x="0" y="0"/>
                                <a:ext cx="514350" cy="4762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方正仿宋_GBK" w:hAnsi="方正仿宋_GBK" w:eastAsia="方正仿宋_GBK" w:cs="方正仿宋_GBK"/>
                                    </w:rPr>
                                  </w:pPr>
                                  <w:r>
                                    <w:rPr>
                                      <w:rFonts w:hint="eastAsia" w:ascii="方正仿宋_GBK" w:hAnsi="方正仿宋_GBK" w:eastAsia="方正仿宋_GBK" w:cs="方正仿宋_GBK"/>
                                    </w:rPr>
                                    <w:t>区间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6.55pt;margin-top:0.35pt;height:37.5pt;width:40.5pt;mso-wrap-distance-bottom:0pt;mso-wrap-distance-left:9pt;mso-wrap-distance-right:9pt;mso-wrap-distance-top:0pt;z-index:251665408;mso-width-relative:page;mso-height-relative:page;" fillcolor="#FFFFFF [3201]" filled="t" stroked="f" coordsize="21600,21600" o:gfxdata="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4dcD7RAAAABwEAAA8AAAAAAAAAAQAgAAAA&#10;IgAAAGRycy9kb3ducmV2LnhtbFBLAQIUABQAAAAIAIdO4kDALLsDSwIAAJAEAAAOAAAAAAAAAAEA&#10;IAAAACABAABkcnMvZTJvRG9jLnhtbFBLBQYAAAAABgAGAFkBAADdBQAAAAA=&#10;">
                      <v:fill on="t" focussize="0,0"/>
                      <v:stroke on="f" weight="0.5pt"/>
                      <v:imagedata o:title=""/>
                      <o:lock v:ext="edit" aspectratio="f"/>
                      <v:textbox>
                        <w:txbxContent>
                          <w:p>
                            <w:pPr>
                              <w:rPr>
                                <w:rFonts w:ascii="方正仿宋_GBK" w:hAnsi="方正仿宋_GBK" w:eastAsia="方正仿宋_GBK" w:cs="方正仿宋_GBK"/>
                              </w:rPr>
                            </w:pPr>
                            <w:r>
                              <w:rPr>
                                <w:rFonts w:hint="eastAsia" w:ascii="方正仿宋_GBK" w:hAnsi="方正仿宋_GBK" w:eastAsia="方正仿宋_GBK" w:cs="方正仿宋_GBK"/>
                              </w:rPr>
                              <w:t>区间</w:t>
                            </w:r>
                          </w:p>
                        </w:txbxContent>
                      </v:textbox>
                      <w10:wrap type="square"/>
                    </v:shape>
                  </w:pict>
                </mc:Fallback>
              </mc:AlternateContent>
            </w:r>
            <w:r>
              <w:rPr>
                <w:rFonts w:hint="default" w:ascii="Times New Roman" w:hAnsi="Times New Roman" w:eastAsia="仿宋_GB2312" w:cs="Times New Roman"/>
                <w:color w:val="000000" w:themeColor="text1"/>
                <w:sz w:val="30"/>
                <w:szCs w:val="30"/>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32385</wp:posOffset>
                      </wp:positionH>
                      <wp:positionV relativeFrom="paragraph">
                        <wp:posOffset>223520</wp:posOffset>
                      </wp:positionV>
                      <wp:extent cx="514350" cy="476250"/>
                      <wp:effectExtent l="0" t="0" r="0" b="0"/>
                      <wp:wrapSquare wrapText="bothSides"/>
                      <wp:docPr id="10" name="文本框 10"/>
                      <wp:cNvGraphicFramePr/>
                      <a:graphic xmlns:a="http://schemas.openxmlformats.org/drawingml/2006/main">
                        <a:graphicData uri="http://schemas.microsoft.com/office/word/2010/wordprocessingShape">
                          <wps:wsp>
                            <wps:cNvSpPr txBox="1"/>
                            <wps:spPr>
                              <a:xfrm>
                                <a:off x="1175385" y="1058545"/>
                                <a:ext cx="514350" cy="4762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方正仿宋_GBK" w:hAnsi="方正仿宋_GBK" w:eastAsia="方正仿宋_GBK" w:cs="方正仿宋_GBK"/>
                                    </w:rPr>
                                  </w:pPr>
                                  <w:r>
                                    <w:rPr>
                                      <w:rFonts w:hint="eastAsia" w:ascii="方正仿宋_GBK" w:hAnsi="方正仿宋_GBK" w:eastAsia="方正仿宋_GBK" w:cs="方正仿宋_GBK"/>
                                    </w:rPr>
                                    <w:t>指标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5pt;margin-top:17.6pt;height:37.5pt;width:40.5pt;mso-wrap-distance-bottom:0pt;mso-wrap-distance-left:9pt;mso-wrap-distance-right:9pt;mso-wrap-distance-top:0pt;z-index:251664384;mso-width-relative:page;mso-height-relative:page;" fillcolor="#FFFFFF [3201]" filled="t" stroked="f" coordsize="21600,21600" o:gfxdata="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eEDcS0QAAAAcBAAAP&#10;AAAAAAAAAAEAIAAAACIAAABkcnMvZG93bnJldi54bWxQSwECFAAUAAAACACHTuJAGcUtRlgCAACc&#10;BAAADgAAAAAAAAABACAAAAAgAQAAZHJzL2Uyb0RvYy54bWxQSwUGAAAAAAYABgBZAQAA6gUAAAAA&#10;">
                      <v:fill on="t" focussize="0,0"/>
                      <v:stroke on="f" weight="0.5pt"/>
                      <v:imagedata o:title=""/>
                      <o:lock v:ext="edit" aspectratio="f"/>
                      <v:textbox>
                        <w:txbxContent>
                          <w:p>
                            <w:pPr>
                              <w:rPr>
                                <w:rFonts w:ascii="方正仿宋_GBK" w:hAnsi="方正仿宋_GBK" w:eastAsia="方正仿宋_GBK" w:cs="方正仿宋_GBK"/>
                              </w:rPr>
                            </w:pPr>
                            <w:r>
                              <w:rPr>
                                <w:rFonts w:hint="eastAsia" w:ascii="方正仿宋_GBK" w:hAnsi="方正仿宋_GBK" w:eastAsia="方正仿宋_GBK" w:cs="方正仿宋_GBK"/>
                              </w:rPr>
                              <w:t>指标</w:t>
                            </w:r>
                          </w:p>
                        </w:txbxContent>
                      </v:textbox>
                      <w10:wrap type="square"/>
                    </v:shape>
                  </w:pict>
                </mc:Fallback>
              </mc:AlternateContent>
            </w:r>
          </w:p>
        </w:tc>
        <w:tc>
          <w:tcPr>
            <w:tcW w:w="2092"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十三五末</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（院水平）</w:t>
            </w:r>
          </w:p>
        </w:tc>
        <w:tc>
          <w:tcPr>
            <w:tcW w:w="177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十四五末</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（院指标）</w:t>
            </w: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9"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母婴保健专项技术服务从业人员持证执业率</w:t>
            </w:r>
          </w:p>
        </w:tc>
        <w:tc>
          <w:tcPr>
            <w:tcW w:w="2092"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100%</w:t>
            </w:r>
          </w:p>
        </w:tc>
        <w:tc>
          <w:tcPr>
            <w:tcW w:w="177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100%</w:t>
            </w: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9"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基本药物配备使用品种与金额占比</w:t>
            </w:r>
          </w:p>
        </w:tc>
        <w:tc>
          <w:tcPr>
            <w:tcW w:w="2092"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41.8%、31.1%</w:t>
            </w:r>
          </w:p>
        </w:tc>
        <w:tc>
          <w:tcPr>
            <w:tcW w:w="177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30%</w:t>
            </w: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3849"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住院病案首页合格率</w:t>
            </w:r>
          </w:p>
        </w:tc>
        <w:tc>
          <w:tcPr>
            <w:tcW w:w="2092"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91%</w:t>
            </w:r>
          </w:p>
        </w:tc>
        <w:tc>
          <w:tcPr>
            <w:tcW w:w="177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90%</w:t>
            </w: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3849"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门诊、住院次均费用增幅</w:t>
            </w:r>
          </w:p>
        </w:tc>
        <w:tc>
          <w:tcPr>
            <w:tcW w:w="2092"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11.75、10.04</w:t>
            </w:r>
          </w:p>
        </w:tc>
        <w:tc>
          <w:tcPr>
            <w:tcW w:w="177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5%以内</w:t>
            </w: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3849"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医疗服务收入占比、人员经费支出占比较上年同期</w:t>
            </w:r>
          </w:p>
        </w:tc>
        <w:tc>
          <w:tcPr>
            <w:tcW w:w="2092"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483870</wp:posOffset>
                      </wp:positionH>
                      <wp:positionV relativeFrom="paragraph">
                        <wp:posOffset>168275</wp:posOffset>
                      </wp:positionV>
                      <wp:extent cx="200025" cy="352425"/>
                      <wp:effectExtent l="4445" t="2540" r="5080" b="6985"/>
                      <wp:wrapNone/>
                      <wp:docPr id="12" name="直接连接符 12"/>
                      <wp:cNvGraphicFramePr/>
                      <a:graphic xmlns:a="http://schemas.openxmlformats.org/drawingml/2006/main">
                        <a:graphicData uri="http://schemas.microsoft.com/office/word/2010/wordprocessingShape">
                          <wps:wsp>
                            <wps:cNvCnPr/>
                            <wps:spPr>
                              <a:xfrm flipH="1">
                                <a:off x="0" y="0"/>
                                <a:ext cx="200025" cy="352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38.1pt;margin-top:13.25pt;height:27.75pt;width:15.75pt;z-index:251666432;mso-width-relative:page;mso-height-relative:page;" filled="f" stroked="t" coordsize="21600,21600" o:gfxdata="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bCujnWAAAACAEAAA8AAAAAAAAAAQAgAAAAIgAAAGRycy9kb3ducmV2LnhtbFBLAQIUABQAAAAI&#10;AIdO4kA8XWn07wEAAMEDAAAOAAAAAAAAAAEAIAAAACUBAABkcnMvZTJvRG9jLnhtbFBLBQYAAAAA&#10;BgAGAFkBAACGBQAAAAA=&#10;">
                      <v:fill on="f" focussize="0,0"/>
                      <v:stroke weight="0.5pt" color="#000000 [3213]" miterlimit="8" joinstyle="miter"/>
                      <v:imagedata o:title=""/>
                      <o:lock v:ext="edit" aspectratio="f"/>
                    </v:line>
                  </w:pict>
                </mc:Fallback>
              </mc:AlternateContent>
            </w:r>
          </w:p>
        </w:tc>
        <w:tc>
          <w:tcPr>
            <w:tcW w:w="177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上升</w:t>
            </w: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3849"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年业务收入（亿元）</w:t>
            </w:r>
          </w:p>
        </w:tc>
        <w:tc>
          <w:tcPr>
            <w:tcW w:w="2092"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3.9</w:t>
            </w:r>
          </w:p>
        </w:tc>
        <w:tc>
          <w:tcPr>
            <w:tcW w:w="177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4.98</w:t>
            </w: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9"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资产总额（亿元）</w:t>
            </w:r>
          </w:p>
        </w:tc>
        <w:tc>
          <w:tcPr>
            <w:tcW w:w="2092"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6.68</w:t>
            </w:r>
          </w:p>
        </w:tc>
        <w:tc>
          <w:tcPr>
            <w:tcW w:w="177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7.5</w:t>
            </w: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3849"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妇幼保健机构绩效考核综合排名</w:t>
            </w:r>
          </w:p>
        </w:tc>
        <w:tc>
          <w:tcPr>
            <w:tcW w:w="2092"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省第六名</w:t>
            </w:r>
          </w:p>
        </w:tc>
        <w:tc>
          <w:tcPr>
            <w:tcW w:w="177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省前四名</w:t>
            </w: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3849"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电子病历等级评审</w:t>
            </w:r>
          </w:p>
        </w:tc>
        <w:tc>
          <w:tcPr>
            <w:tcW w:w="2092"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四级</w:t>
            </w:r>
          </w:p>
        </w:tc>
        <w:tc>
          <w:tcPr>
            <w:tcW w:w="177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五级</w:t>
            </w: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trPr>
        <w:tc>
          <w:tcPr>
            <w:tcW w:w="3849"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省级重点学专科</w:t>
            </w:r>
          </w:p>
        </w:tc>
        <w:tc>
          <w:tcPr>
            <w:tcW w:w="2092"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2</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（重点学科1重点专科1）</w:t>
            </w:r>
          </w:p>
        </w:tc>
        <w:tc>
          <w:tcPr>
            <w:tcW w:w="177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5</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（重点学科3重点专科2）</w:t>
            </w: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3849"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SCI及中华系列论文数量（篇）</w:t>
            </w:r>
          </w:p>
        </w:tc>
        <w:tc>
          <w:tcPr>
            <w:tcW w:w="2092"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11</w:t>
            </w:r>
          </w:p>
        </w:tc>
        <w:tc>
          <w:tcPr>
            <w:tcW w:w="177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15</w:t>
            </w: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每年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3849"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市级重点专科或实验室（个）</w:t>
            </w:r>
          </w:p>
        </w:tc>
        <w:tc>
          <w:tcPr>
            <w:tcW w:w="2092"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0</w:t>
            </w:r>
          </w:p>
        </w:tc>
        <w:tc>
          <w:tcPr>
            <w:tcW w:w="177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2</w:t>
            </w: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3849"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高层次</w:t>
            </w:r>
            <w:r>
              <w:rPr>
                <w:rFonts w:hint="default" w:ascii="Times New Roman" w:hAnsi="Times New Roman" w:eastAsia="仿宋_GB2312" w:cs="Times New Roman"/>
                <w:color w:val="000000" w:themeColor="text1"/>
                <w:sz w:val="30"/>
                <w:szCs w:val="30"/>
                <w:vertAlign w:val="superscript"/>
                <w14:textFill>
                  <w14:solidFill>
                    <w14:schemeClr w14:val="tx1"/>
                  </w14:solidFill>
                </w14:textFill>
              </w:rPr>
              <w:t>③</w:t>
            </w:r>
            <w:r>
              <w:rPr>
                <w:rFonts w:hint="default" w:ascii="Times New Roman" w:hAnsi="Times New Roman" w:eastAsia="仿宋_GB2312" w:cs="Times New Roman"/>
                <w:color w:val="000000" w:themeColor="text1"/>
                <w:sz w:val="30"/>
                <w:szCs w:val="30"/>
                <w14:textFill>
                  <w14:solidFill>
                    <w14:schemeClr w14:val="tx1"/>
                  </w14:solidFill>
                </w14:textFill>
              </w:rPr>
              <w:t>人才总数（人）</w:t>
            </w:r>
          </w:p>
        </w:tc>
        <w:tc>
          <w:tcPr>
            <w:tcW w:w="2092"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175</w:t>
            </w:r>
          </w:p>
        </w:tc>
        <w:tc>
          <w:tcPr>
            <w:tcW w:w="177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230</w:t>
            </w: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9"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创成省级文化品牌</w:t>
            </w:r>
          </w:p>
        </w:tc>
        <w:tc>
          <w:tcPr>
            <w:tcW w:w="2092"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0</w:t>
            </w:r>
          </w:p>
        </w:tc>
        <w:tc>
          <w:tcPr>
            <w:tcW w:w="177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1</w:t>
            </w: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注：③研究生及副高级以上职称人才</w:t>
      </w:r>
    </w:p>
    <w:p>
      <w:pPr>
        <w:pStyle w:val="4"/>
        <w:keepNext w:val="0"/>
        <w:keepLines w:val="0"/>
        <w:pageBreakBefore w:val="0"/>
        <w:widowControl w:val="0"/>
        <w:kinsoku/>
        <w:wordWrap/>
        <w:overflowPunct/>
        <w:topLinePunct w:val="0"/>
        <w:autoSpaceDE/>
        <w:autoSpaceDN/>
        <w:bidi w:val="0"/>
        <w:adjustRightInd/>
        <w:snapToGrid/>
        <w:spacing w:after="0" w:line="540" w:lineRule="exact"/>
        <w:jc w:val="both"/>
        <w:textAlignment w:val="auto"/>
        <w:rPr>
          <w:rFonts w:hint="default" w:ascii="Times New Roman" w:hAnsi="Times New Roman" w:cs="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三、主要任务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到2025年，全面完成“一个样板、两大中心、三大工程、四个融合、五大提升”工作目标，实现资源配置更加合理，服务能力显著增强，妇女儿童健康水平稳步提高，主要健康指标继续保持全省前列。</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（一）打造“一个样板”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十四五”期间，我院将以构建优质高效的大妇幼为统领，以“健康妈妈”“健康宝贝”“健康生殖”三大工程为抓手，深入实施健康妇幼促进行动，打造妇幼健康服务体系建设的“连云港样板”，保持省内一流，力争国内领先。</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（二）建成“两大中心”</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1.推进区域妇幼保健服务中心建设。</w:t>
      </w:r>
      <w:r>
        <w:rPr>
          <w:rFonts w:hint="default" w:ascii="Times New Roman" w:hAnsi="Times New Roman" w:eastAsia="仿宋_GB2312" w:cs="Times New Roman"/>
          <w:color w:val="000000" w:themeColor="text1"/>
          <w:sz w:val="32"/>
          <w:szCs w:val="32"/>
          <w14:textFill>
            <w14:solidFill>
              <w14:schemeClr w14:val="tx1"/>
            </w14:solidFill>
          </w14:textFill>
        </w:rPr>
        <w:t>借助省妇幼保健院分会平台，搭建苏北五市联盟框架，与鲁南地区部分妇幼保健机构联姻，并以此为基础，成立辐射苏北五市及鲁南地区的区域性妇幼保健服务中心。中心内服务内容将涵盖儿童健康培训和康复指导、宫颈病诊疗、女性整体康复、“两癌”检查、生殖内分泌、妇女肿瘤及常见病防治、计划生育与流产后关爱等项目，全方位提升妇幼医疗保健服务水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76200</wp:posOffset>
                </wp:positionV>
                <wp:extent cx="1828800" cy="5107305"/>
                <wp:effectExtent l="4445" t="4445" r="14605" b="12700"/>
                <wp:wrapSquare wrapText="bothSides"/>
                <wp:docPr id="4" name="文本框 4"/>
                <wp:cNvGraphicFramePr/>
                <a:graphic xmlns:a="http://schemas.openxmlformats.org/drawingml/2006/main">
                  <a:graphicData uri="http://schemas.microsoft.com/office/word/2010/wordprocessingShape">
                    <wps:wsp>
                      <wps:cNvSpPr txBox="1"/>
                      <wps:spPr>
                        <a:xfrm>
                          <a:off x="0" y="0"/>
                          <a:ext cx="1828800" cy="510730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583" w:lineRule="exact"/>
                              <w:jc w:val="center"/>
                              <w:rPr>
                                <w:rFonts w:ascii="仿宋_GB2312" w:hAnsi="仿宋_GB2312" w:eastAsia="仿宋_GB2312" w:cs="仿宋_GB2312"/>
                                <w:b/>
                                <w:bCs/>
                                <w:color w:val="000000" w:themeColor="text1"/>
                                <w:sz w:val="30"/>
                                <w:szCs w:val="30"/>
                                <w14:textFill>
                                  <w14:solidFill>
                                    <w14:schemeClr w14:val="tx1"/>
                                  </w14:solidFill>
                                </w14:textFill>
                              </w:rPr>
                            </w:pPr>
                            <w:r>
                              <w:rPr>
                                <w:rFonts w:hint="eastAsia" w:ascii="仿宋_GB2312" w:hAnsi="仿宋_GB2312" w:eastAsia="仿宋_GB2312" w:cs="仿宋_GB2312"/>
                                <w:b/>
                                <w:bCs/>
                                <w:color w:val="000000" w:themeColor="text1"/>
                                <w:sz w:val="30"/>
                                <w:szCs w:val="30"/>
                                <w14:textFill>
                                  <w14:solidFill>
                                    <w14:schemeClr w14:val="tx1"/>
                                  </w14:solidFill>
                                </w14:textFill>
                              </w:rPr>
                              <w:t>专栏1 开展区域影响力提升行动</w:t>
                            </w:r>
                          </w:p>
                          <w:p>
                            <w:pPr>
                              <w:spacing w:line="560" w:lineRule="exact"/>
                              <w:ind w:firstLine="600" w:firstLineChars="200"/>
                              <w:rPr>
                                <w:rFonts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通过推进紧密型医联体建设、推动妇产儿专科联盟发展、加速妇幼保健机构“所转院”、深化妇幼健康联盟战略合作、推动市级孵化中心建设、“党建+项目”合作等具体举措，构建覆盖全市，辐射苏北鲁南地区、“一带一路”沿线地区及长三角区域、面向全国的妇幼健康事业战略合作新格局。</w:t>
                            </w:r>
                          </w:p>
                          <w:p>
                            <w:pPr>
                              <w:spacing w:line="560" w:lineRule="exact"/>
                              <w:ind w:firstLine="600" w:firstLineChars="200"/>
                              <w:rPr>
                                <w:rFonts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加快东海、灌云县妇幼保健所转院的进程；加强对宁夏吴忠市妇保院、河北固安县妇保院的对口帮扶；加强与云南红河州妇保院、乌鲁木齐妇保院、启东市妇保院等单位的友好合作；强化与上海红房子妇产医院、上海儿童医院建立深度合作；推动与新疆霍尔果斯妇保院的项目合作。</w:t>
                            </w:r>
                          </w:p>
                          <w:p>
                            <w:pPr>
                              <w:spacing w:line="560" w:lineRule="exact"/>
                              <w:ind w:firstLine="600" w:firstLineChars="200"/>
                              <w:rPr>
                                <w:rFonts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“十四五”期间，力争实现全市妇幼保健机构和妇产儿专科联盟覆盖率达到80%以上，全省排名前三；争取建立专家工作室10个、孵化中心10个。</w:t>
                            </w:r>
                          </w:p>
                          <w:p>
                            <w:pPr>
                              <w:spacing w:line="560" w:lineRule="exact"/>
                              <w:ind w:firstLine="600" w:firstLineChars="200"/>
                              <w:rPr>
                                <w:rFonts w:ascii="仿宋_GB2312" w:hAnsi="仿宋_GB2312" w:eastAsia="仿宋_GB2312" w:cs="仿宋_GB2312"/>
                                <w:color w:val="000000" w:themeColor="text1"/>
                                <w:sz w:val="30"/>
                                <w:szCs w:val="30"/>
                                <w14:textFill>
                                  <w14:solidFill>
                                    <w14:schemeClr w14:val="tx1"/>
                                  </w14:solidFill>
                                </w14:textFill>
                              </w:rPr>
                            </w:pP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5pt;margin-top:6pt;height:402.15pt;width:144pt;mso-wrap-distance-bottom:0pt;mso-wrap-distance-left:9pt;mso-wrap-distance-right:9pt;mso-wrap-distance-top:0pt;mso-wrap-style:none;z-index:251659264;mso-width-relative:page;mso-height-relative:page;" fillcolor="#FFFFFF [3201]" filled="t" stroked="t" coordsize="21600,21600" o:gfxdata="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Sw6IMtkA&#10;AAAJAQAADwAAAAAAAAABACAAAAAiAAAAZHJzL2Rvd25yZXYueG1sUEsBAhQAFAAAAAgAh07iQNAR&#10;AmRXAgAAtgQAAA4AAAAAAAAAAQAgAAAAKAEAAGRycy9lMm9Eb2MueG1sUEsFBgAAAAAGAAYAWQEA&#10;APEFAAAAAA==&#10;">
                <v:fill on="t" focussize="0,0"/>
                <v:stroke weight="0.5pt" color="#000000 [3204]" joinstyle="round"/>
                <v:imagedata o:title=""/>
                <o:lock v:ext="edit" aspectratio="f"/>
                <v:textbox>
                  <w:txbxContent>
                    <w:p>
                      <w:pPr>
                        <w:spacing w:line="583" w:lineRule="exact"/>
                        <w:jc w:val="center"/>
                        <w:rPr>
                          <w:rFonts w:ascii="仿宋_GB2312" w:hAnsi="仿宋_GB2312" w:eastAsia="仿宋_GB2312" w:cs="仿宋_GB2312"/>
                          <w:b/>
                          <w:bCs/>
                          <w:color w:val="000000" w:themeColor="text1"/>
                          <w:sz w:val="30"/>
                          <w:szCs w:val="30"/>
                          <w14:textFill>
                            <w14:solidFill>
                              <w14:schemeClr w14:val="tx1"/>
                            </w14:solidFill>
                          </w14:textFill>
                        </w:rPr>
                      </w:pPr>
                      <w:r>
                        <w:rPr>
                          <w:rFonts w:hint="eastAsia" w:ascii="仿宋_GB2312" w:hAnsi="仿宋_GB2312" w:eastAsia="仿宋_GB2312" w:cs="仿宋_GB2312"/>
                          <w:b/>
                          <w:bCs/>
                          <w:color w:val="000000" w:themeColor="text1"/>
                          <w:sz w:val="30"/>
                          <w:szCs w:val="30"/>
                          <w14:textFill>
                            <w14:solidFill>
                              <w14:schemeClr w14:val="tx1"/>
                            </w14:solidFill>
                          </w14:textFill>
                        </w:rPr>
                        <w:t>专栏1 开展区域影响力提升行动</w:t>
                      </w:r>
                    </w:p>
                    <w:p>
                      <w:pPr>
                        <w:spacing w:line="560" w:lineRule="exact"/>
                        <w:ind w:firstLine="600" w:firstLineChars="200"/>
                        <w:rPr>
                          <w:rFonts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通过推进紧密型医联体建设、推动妇产儿专科联盟发展、加速妇幼保健机构“所转院”、深化妇幼健康联盟战略合作、推动市级孵化中心建设、“党建+项目”合作等具体举措，构建覆盖全市，辐射苏北鲁南地区、“一带一路”沿线地区及长三角区域、面向全国的妇幼健康事业战略合作新格局。</w:t>
                      </w:r>
                    </w:p>
                    <w:p>
                      <w:pPr>
                        <w:spacing w:line="560" w:lineRule="exact"/>
                        <w:ind w:firstLine="600" w:firstLineChars="200"/>
                        <w:rPr>
                          <w:rFonts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加快东海、灌云县妇幼保健所转院的进程；加强对宁夏吴忠市妇保院、河北固安县妇保院的对口帮扶；加强与云南红河州妇保院、乌鲁木齐妇保院、启东市妇保院等单位的友好合作；强化与上海红房子妇产医院、上海儿童医院建立深度合作；推动与新疆霍尔果斯妇保院的项目合作。</w:t>
                      </w:r>
                    </w:p>
                    <w:p>
                      <w:pPr>
                        <w:spacing w:line="560" w:lineRule="exact"/>
                        <w:ind w:firstLine="600" w:firstLineChars="200"/>
                        <w:rPr>
                          <w:rFonts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“十四五”期间，力争实现全市妇幼保健机构和妇产儿专科联盟覆盖率达到80%以上，全省排名前三；争取建立专家工作室10个、孵化中心10个。</w:t>
                      </w:r>
                    </w:p>
                    <w:p>
                      <w:pPr>
                        <w:spacing w:line="560" w:lineRule="exact"/>
                        <w:ind w:firstLine="600" w:firstLineChars="200"/>
                        <w:rPr>
                          <w:rFonts w:ascii="仿宋_GB2312" w:hAnsi="仿宋_GB2312" w:eastAsia="仿宋_GB2312" w:cs="仿宋_GB2312"/>
                          <w:color w:val="000000" w:themeColor="text1"/>
                          <w:sz w:val="30"/>
                          <w:szCs w:val="30"/>
                          <w14:textFill>
                            <w14:solidFill>
                              <w14:schemeClr w14:val="tx1"/>
                            </w14:solidFill>
                          </w14:textFill>
                        </w:rPr>
                      </w:pPr>
                    </w:p>
                  </w:txbxContent>
                </v:textbox>
                <w10:wrap type="square"/>
              </v:shape>
            </w:pict>
          </mc:Fallback>
        </mc:AlternateContent>
      </w:r>
      <w:r>
        <w:rPr>
          <w:rFonts w:hint="default" w:ascii="Times New Roman" w:hAnsi="Times New Roman" w:eastAsia="仿宋_GB2312" w:cs="Times New Roman"/>
          <w:b/>
          <w:bCs/>
          <w:color w:val="000000" w:themeColor="text1"/>
          <w:sz w:val="32"/>
          <w:szCs w:val="32"/>
          <w14:textFill>
            <w14:solidFill>
              <w14:schemeClr w14:val="tx1"/>
            </w14:solidFill>
          </w14:textFill>
        </w:rPr>
        <w:t>2.推进区域孕产妇新生儿救治中心建设。</w:t>
      </w:r>
      <w:r>
        <w:rPr>
          <w:rFonts w:hint="default" w:ascii="Times New Roman" w:hAnsi="Times New Roman" w:eastAsia="仿宋_GB2312" w:cs="Times New Roman"/>
          <w:color w:val="000000" w:themeColor="text1"/>
          <w:sz w:val="32"/>
          <w:szCs w:val="32"/>
          <w14:textFill>
            <w14:solidFill>
              <w14:schemeClr w14:val="tx1"/>
            </w14:solidFill>
          </w14:textFill>
        </w:rPr>
        <w:t>进一步完善由产科、妇科、乳腺科、儿内科、新生儿科、儿外科、医学检验科、放射科、超声科、介入诊疗科等组成的区域妇幼医疗救治中心。建立院内多学科分工协作机制，加强院前急救能力，建立高危孕产妇、危重症新生儿、危重症儿童救治及转诊等机制。成立重症医学科和儿童重症监护病房（PICU），提升危急重症救治能力。通过与德国马堡大学围产中心合作，加强人员进修培训，推进早产儿的精准服务打造早产中心。主要医疗指标达到省内先进水平，力争建成省级孕产妇危急重症救治中心。</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（三）推进“三大工程”</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1.做优“健康妈妈工程”。</w:t>
      </w:r>
      <w:r>
        <w:rPr>
          <w:rFonts w:hint="default" w:ascii="Times New Roman" w:hAnsi="Times New Roman" w:eastAsia="仿宋_GB2312" w:cs="Times New Roman"/>
          <w:color w:val="000000" w:themeColor="text1"/>
          <w:sz w:val="32"/>
          <w:szCs w:val="32"/>
          <w14:textFill>
            <w14:solidFill>
              <w14:schemeClr w14:val="tx1"/>
            </w14:solidFill>
          </w14:textFill>
        </w:rPr>
        <w:t>做好高危孕产妇和高危儿的筛查与管理，强化孕期体重管理，完善孕产妇和新生儿危急重症救治网络，建立健全多学科联合协作的综合救治机制。采用信息化管理模式，提升高危孕产妇管理与服务的质量，确保高危孕产妇“发现一例、登记一例、报告一例、管理一例、一管到底”，切实保障母婴安全。充分利用省平台，加强高危孕产妇动态监管频次，建立逐级汇报制度，定期抽查各县区高危孕产妇动态监管情况，落实分级管理和救治管理制度，畅通母婴急救绿色通道。每季度至少开展一次危急重症技能培训和应急演练，每年至少组织一次区域性危急重症应急演练和专题培训，提升危急重症救治能力。每季度开展高危孕产妇管理工作质量控制督导与通报。开展高危孕产妇管理培训班，及时总结和交流工作经验，制定和完善相应工作措施，提高基层对高危孕产妇识别及管理能力。</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3"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2.做强“健康宝贝工程</w:t>
      </w:r>
      <w:r>
        <w:rPr>
          <w:rFonts w:hint="default" w:ascii="Times New Roman" w:hAnsi="Times New Roman" w:eastAsia="仿宋_GB2312" w:cs="Times New Roman"/>
          <w:color w:val="000000" w:themeColor="text1"/>
          <w:sz w:val="32"/>
          <w:szCs w:val="32"/>
          <w14:textFill>
            <w14:solidFill>
              <w14:schemeClr w14:val="tx1"/>
            </w14:solidFill>
          </w14:textFill>
        </w:rPr>
        <w:t>”。进一步完善</w:t>
      </w:r>
      <w: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t>儿童健康服务体系，提升儿童医疗保健服务能力，持续提高儿童健康水平。</w:t>
      </w:r>
      <w:r>
        <w:rPr>
          <w:rFonts w:hint="default" w:ascii="Times New Roman" w:hAnsi="Times New Roman" w:eastAsia="仿宋_GB2312" w:cs="Times New Roman"/>
          <w:color w:val="000000" w:themeColor="text1"/>
          <w:sz w:val="32"/>
          <w:szCs w:val="32"/>
          <w14:textFill>
            <w14:solidFill>
              <w14:schemeClr w14:val="tx1"/>
            </w14:solidFill>
          </w14:textFill>
        </w:rPr>
        <w:t>拓展“健康宝贝工程”受众面和服务项，完善筛查网络体系，有效降低出生缺陷发生率。以高危儿管理为核心，做好儿童保健各专科的建设，带动营养、心理、康复等专科均衡发展。</w:t>
      </w:r>
      <w:r>
        <w:rPr>
          <w:rFonts w:hint="default" w:ascii="Times New Roman" w:hAnsi="Times New Roman" w:eastAsia="仿宋" w:cs="Times New Roman"/>
          <w:color w:val="000000" w:themeColor="text1"/>
          <w:sz w:val="32"/>
          <w:szCs w:val="32"/>
          <w14:textFill>
            <w14:solidFill>
              <w14:schemeClr w14:val="tx1"/>
            </w14:solidFill>
          </w14:textFill>
        </w:rPr>
        <w:t>不断提高早产儿专案管理率，力争到“十四五”期末，实现</w:t>
      </w:r>
      <w:r>
        <w:rPr>
          <w:rFonts w:hint="default" w:ascii="Times New Roman" w:hAnsi="Times New Roman" w:eastAsia="仿宋_GB2312" w:cs="Times New Roman"/>
          <w:color w:val="000000" w:themeColor="text1"/>
          <w:sz w:val="32"/>
          <w:szCs w:val="32"/>
          <w14:textFill>
            <w14:solidFill>
              <w14:schemeClr w14:val="tx1"/>
            </w14:solidFill>
          </w14:textFill>
        </w:rPr>
        <w:t>新生儿访视率在90%以上</w:t>
      </w:r>
      <w:r>
        <w:rPr>
          <w:rFonts w:hint="default" w:ascii="Times New Roman" w:hAnsi="Times New Roman" w:eastAsia="仿宋" w:cs="Times New Roman"/>
          <w:color w:val="000000" w:themeColor="text1"/>
          <w:sz w:val="32"/>
          <w:szCs w:val="32"/>
          <w14:textFill>
            <w14:solidFill>
              <w14:schemeClr w14:val="tx1"/>
            </w14:solidFill>
          </w14:textFill>
        </w:rPr>
        <w:t>，通过推行袋鼠式护理，促进早产儿早期发展。</w:t>
      </w:r>
      <w:r>
        <w:rPr>
          <w:rFonts w:hint="default" w:ascii="Times New Roman" w:hAnsi="Times New Roman" w:eastAsia="仿宋_GB2312" w:cs="Times New Roman"/>
          <w:color w:val="000000" w:themeColor="text1"/>
          <w:sz w:val="32"/>
          <w:szCs w:val="32"/>
          <w14:textFill>
            <w14:solidFill>
              <w14:schemeClr w14:val="tx1"/>
            </w14:solidFill>
          </w14:textFill>
        </w:rPr>
        <w:t>倡导6个月内婴儿纯母乳喂养，普及6月龄以上婴幼儿合理添加辅食知识技能，降低儿童贫血犯病率和生长迟缓率。</w:t>
      </w:r>
      <w: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t>建立0-3岁儿童眼健康电子档案，到2025年覆盖率达到98%以上。</w:t>
      </w:r>
      <w:r>
        <w:rPr>
          <w:rFonts w:hint="default" w:ascii="Times New Roman" w:hAnsi="Times New Roman" w:eastAsia="仿宋_GB2312" w:cs="Times New Roman"/>
          <w:color w:val="000000" w:themeColor="text1"/>
          <w:sz w:val="32"/>
          <w:szCs w:val="32"/>
          <w14:textFill>
            <w14:solidFill>
              <w14:schemeClr w14:val="tx1"/>
            </w14:solidFill>
          </w14:textFill>
        </w:rPr>
        <w:t>3岁以下儿童系统管理率和7岁以下儿童健康管理率分别保持在90%和95%以上。积极配合相关部门推进“出生一件事”多证联办，逐步实现“网上办”“掌上办”。</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3.做实“健康生殖工程”。</w:t>
      </w:r>
      <w:r>
        <w:rPr>
          <w:rFonts w:hint="default" w:ascii="Times New Roman" w:hAnsi="Times New Roman" w:eastAsia="仿宋_GB2312" w:cs="Times New Roman"/>
          <w:color w:val="000000" w:themeColor="text1"/>
          <w:sz w:val="32"/>
          <w:szCs w:val="32"/>
          <w14:textFill>
            <w14:solidFill>
              <w14:schemeClr w14:val="tx1"/>
            </w14:solidFill>
          </w14:textFill>
        </w:rPr>
        <w:t>围绕七彩主题行动，开展贯穿全生命周期的系列医疗保健服务，尤其加强青春期及更年期的健康生殖管理，促进生殖健康服务更具针对性、有效性和系统性。强化预防艾梅乙母婴阻断专项督导，采取多种形式的业务培训与指导，全面提升全市妇幼保健机构服务质量和水平。以保护生育力和辅助生殖技术为抓手，为群众健康生育提供保障，平缓总和生育率下降趋势，推动实现适度生育水平。加强妇女常见病防治，将人工智能及云诊断技术用于宫颈癌筛查项目，通过扩面宣传教育、提高筛查能力、创新筛查方式等系列举措，提升两癌筛查质量。</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（四）深化“四个融合”</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1.持续深化保健临床相融合。</w:t>
      </w:r>
      <w:r>
        <w:rPr>
          <w:rFonts w:hint="default" w:ascii="Times New Roman" w:hAnsi="Times New Roman" w:eastAsia="仿宋_GB2312" w:cs="Times New Roman"/>
          <w:color w:val="000000" w:themeColor="text1"/>
          <w:sz w:val="32"/>
          <w:szCs w:val="32"/>
          <w14:textFill>
            <w14:solidFill>
              <w14:schemeClr w14:val="tx1"/>
            </w14:solidFill>
          </w14:textFill>
        </w:rPr>
        <w:t>严格遵循三级妇幼保健院标准，基于新院区平台不断丰富服务内涵，医院建设和内部设置进一步体现保健与临床相融合的发展模式。加强保健与临床多学科合作和业务关联，围绕孕产保健部、儿童保健部、妇女保健部重点工作，如孕产妇体重管理、高危儿管理、两癌项目管理等，深化保健临床相融合项目，优化配置内部资源，确保服务流程规范标准、科室设置科学合理。优化考核机制，制定激励举措，推动多学科协调发展，联合开展防治活动，提高诊断准确率，提升医疗保健质量。加强保健新技术新疗法在临床的推广应用，提升保健与临床转介率，持续改进患者就诊体验。</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2.加快“互联网+医疗”深度融合。</w:t>
      </w:r>
      <w:r>
        <w:rPr>
          <w:rFonts w:hint="default" w:ascii="Times New Roman" w:hAnsi="Times New Roman" w:eastAsia="仿宋_GB2312" w:cs="Times New Roman"/>
          <w:bCs/>
          <w:color w:val="000000" w:themeColor="text1"/>
          <w:sz w:val="32"/>
          <w:szCs w:val="32"/>
          <w14:textFill>
            <w14:solidFill>
              <w14:schemeClr w14:val="tx1"/>
            </w14:solidFill>
          </w14:textFill>
        </w:rPr>
        <w:t>全力</w:t>
      </w:r>
      <w:r>
        <w:rPr>
          <w:rFonts w:hint="default" w:ascii="Times New Roman" w:hAnsi="Times New Roman" w:eastAsia="仿宋" w:cs="Times New Roman"/>
          <w:color w:val="000000" w:themeColor="text1"/>
          <w:sz w:val="32"/>
          <w:szCs w:val="32"/>
          <w14:textFill>
            <w14:solidFill>
              <w14:schemeClr w14:val="tx1"/>
            </w14:solidFill>
          </w14:textFill>
        </w:rPr>
        <w:t>建设大数据中心，构建大数据管理平台，</w:t>
      </w:r>
      <w:r>
        <w:rPr>
          <w:rFonts w:hint="default" w:ascii="Times New Roman" w:hAnsi="Times New Roman" w:eastAsia="仿宋_GB2312" w:cs="Times New Roman"/>
          <w:color w:val="000000" w:themeColor="text1"/>
          <w:sz w:val="32"/>
          <w:szCs w:val="32"/>
          <w14:textFill>
            <w14:solidFill>
              <w14:schemeClr w14:val="tx1"/>
            </w14:solidFill>
          </w14:textFill>
        </w:rPr>
        <w:t>实现全院的数据统一集中管理，</w:t>
      </w:r>
      <w:r>
        <w:rPr>
          <w:rFonts w:hint="default" w:ascii="Times New Roman" w:hAnsi="Times New Roman" w:eastAsia="仿宋" w:cs="Times New Roman"/>
          <w:color w:val="000000" w:themeColor="text1"/>
          <w:sz w:val="32"/>
          <w:szCs w:val="32"/>
          <w14:textFill>
            <w14:solidFill>
              <w14:schemeClr w14:val="tx1"/>
            </w14:solidFill>
          </w14:textFill>
        </w:rPr>
        <w:t>驱动医院精细化管理和学科建设</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bCs/>
          <w:color w:val="000000" w:themeColor="text1"/>
          <w:sz w:val="32"/>
          <w:szCs w:val="32"/>
          <w14:textFill>
            <w14:solidFill>
              <w14:schemeClr w14:val="tx1"/>
            </w14:solidFill>
          </w14:textFill>
        </w:rPr>
        <w:t>以患者为中心、以保健临床需求为出发点，建设智慧妇保院，</w:t>
      </w:r>
      <w:r>
        <w:rPr>
          <w:rFonts w:hint="default" w:ascii="Times New Roman" w:hAnsi="Times New Roman" w:eastAsia="仿宋_GB2312" w:cs="Times New Roman"/>
          <w:color w:val="000000" w:themeColor="text1"/>
          <w:sz w:val="32"/>
          <w:szCs w:val="32"/>
          <w14:textFill>
            <w14:solidFill>
              <w14:schemeClr w14:val="tx1"/>
            </w14:solidFill>
          </w14:textFill>
        </w:rPr>
        <w:t>推进智慧管理体系建设，</w:t>
      </w:r>
      <w:r>
        <w:rPr>
          <w:rFonts w:hint="default" w:ascii="Times New Roman" w:hAnsi="Times New Roman" w:eastAsia="仿宋_GB2312" w:cs="Times New Roman"/>
          <w:bCs/>
          <w:color w:val="000000" w:themeColor="text1"/>
          <w:sz w:val="32"/>
          <w:szCs w:val="32"/>
          <w14:textFill>
            <w14:solidFill>
              <w14:schemeClr w14:val="tx1"/>
            </w14:solidFill>
          </w14:textFill>
        </w:rPr>
        <w:t>实现医疗智能化，管理精细化</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bCs/>
          <w:color w:val="000000" w:themeColor="text1"/>
          <w:sz w:val="32"/>
          <w:szCs w:val="32"/>
          <w14:textFill>
            <w14:solidFill>
              <w14:schemeClr w14:val="tx1"/>
            </w14:solidFill>
          </w14:textFill>
        </w:rPr>
        <w:t>打造苏北地区智慧妇幼建设标杆医院。</w:t>
      </w:r>
      <w:r>
        <w:rPr>
          <w:rFonts w:hint="default" w:ascii="Times New Roman" w:hAnsi="Times New Roman" w:eastAsia="仿宋_GB2312" w:cs="Times New Roman"/>
          <w:color w:val="000000" w:themeColor="text1"/>
          <w:sz w:val="32"/>
          <w:szCs w:val="32"/>
          <w14:textFill>
            <w14:solidFill>
              <w14:schemeClr w14:val="tx1"/>
            </w14:solidFill>
          </w14:textFill>
        </w:rPr>
        <w:t>拓展“云上妇幼”服务，不断丰富线上服务内涵，开展儿童保健线上咨询问诊服务试点，产科预约诊疗率不低于70%。创新护理服务模式，发展“互联网+护理”服务，建设智能化护理平台，满足群众日益增长的护理需求。</w:t>
      </w:r>
    </w:p>
    <w:tbl>
      <w:tblPr>
        <w:tblStyle w:val="9"/>
        <w:tblpPr w:leftFromText="180" w:rightFromText="180" w:vertAnchor="text" w:horzAnchor="page" w:tblpX="1957" w:tblpY="296"/>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b/>
                <w:bCs/>
                <w:color w:val="000000" w:themeColor="text1"/>
                <w:sz w:val="30"/>
                <w:szCs w:val="30"/>
                <w14:textFill>
                  <w14:solidFill>
                    <w14:schemeClr w14:val="tx1"/>
                  </w14:solidFill>
                </w14:textFill>
              </w:rPr>
            </w:pPr>
            <w:r>
              <w:rPr>
                <w:rFonts w:hint="default" w:ascii="Times New Roman" w:hAnsi="Times New Roman" w:eastAsia="仿宋_GB2312" w:cs="Times New Roman"/>
                <w:b/>
                <w:bCs/>
                <w:color w:val="000000" w:themeColor="text1"/>
                <w:sz w:val="30"/>
                <w:szCs w:val="30"/>
                <w14:textFill>
                  <w14:solidFill>
                    <w14:schemeClr w14:val="tx1"/>
                  </w14:solidFill>
                </w14:textFill>
              </w:rPr>
              <w:t xml:space="preserve">专栏2 </w:t>
            </w:r>
            <w:r>
              <w:rPr>
                <w:rFonts w:hint="default" w:ascii="Times New Roman" w:hAnsi="Times New Roman" w:eastAsia="仿宋_GB2312" w:cs="Times New Roman"/>
                <w:color w:val="000000" w:themeColor="text1"/>
                <w:sz w:val="30"/>
                <w:szCs w:val="30"/>
                <w14:textFill>
                  <w14:solidFill>
                    <w14:schemeClr w14:val="tx1"/>
                  </w14:solidFill>
                </w14:textFill>
              </w:rPr>
              <w:t>开展智慧服务提升行动</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both"/>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互联网医院建成集成智慧平台，实现预约挂号、缴费、检查检验报告查询、出生证办理、远程胎心、黄疸监测、电子导航、自助发票打印、出入院自助结算、食堂点餐等业务网上通办，为患者提供“一部手机管健康”的便捷高效服务。</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做好智慧服务体系建设，力争医院智慧服务分级评估达三级及以上。做好电子病历系统的持续优化及深化应用，全面满足临床质量安全管理要求，通过电子病历五级评审，力争通过电子病历六级评审。强化互联互通建设，完成医院互联互通标准化成熟度测评，力争达到四级甲等。</w:t>
            </w:r>
          </w:p>
        </w:tc>
      </w:tr>
    </w:tbl>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3.坚持中西医并重融合发展。</w:t>
      </w:r>
      <w:r>
        <w:rPr>
          <w:rFonts w:hint="default" w:ascii="Times New Roman" w:hAnsi="Times New Roman" w:eastAsia="仿宋_GB2312" w:cs="Times New Roman"/>
          <w:color w:val="000000" w:themeColor="text1"/>
          <w:sz w:val="32"/>
          <w:szCs w:val="32"/>
          <w14:textFill>
            <w14:solidFill>
              <w14:schemeClr w14:val="tx1"/>
            </w14:solidFill>
          </w14:textFill>
        </w:rPr>
        <w:t>弘扬中医药在妇女儿童常见病诊疗和预防保健中的独特优势，深入推进妇幼健康中医药工作，</w:t>
      </w:r>
      <w:r>
        <w:rPr>
          <w:rFonts w:hint="default" w:ascii="Times New Roman" w:hAnsi="Times New Roman" w:eastAsia="仿宋_GB2312" w:cs="Times New Roman"/>
          <w:color w:val="000000" w:themeColor="text1"/>
          <w:kern w:val="0"/>
          <w:sz w:val="32"/>
          <w:szCs w:val="32"/>
          <w14:textFill>
            <w14:solidFill>
              <w14:schemeClr w14:val="tx1"/>
            </w14:solidFill>
          </w14:textFill>
        </w:rPr>
        <w:t>实现中医药服务覆盖妇女儿童全生命周期，力争走在全省前列。到2025年，中医床位数达到40张，中医药服务量每年上升50%以上，中医药年门诊量5万人次以上。持续深入推进</w:t>
      </w:r>
      <w:r>
        <w:rPr>
          <w:rFonts w:hint="default" w:ascii="Times New Roman" w:hAnsi="Times New Roman" w:eastAsia="仿宋_GB2312" w:cs="Times New Roman"/>
          <w:color w:val="000000" w:themeColor="text1"/>
          <w:sz w:val="32"/>
          <w:szCs w:val="32"/>
          <w14:textFill>
            <w14:solidFill>
              <w14:schemeClr w14:val="tx1"/>
            </w14:solidFill>
          </w14:textFill>
        </w:rPr>
        <w:t>中医护理工作，扩大服务规模，</w:t>
      </w:r>
      <w:r>
        <w:rPr>
          <w:rFonts w:hint="default" w:ascii="Times New Roman" w:hAnsi="Times New Roman" w:eastAsia="仿宋_GB2312" w:cs="Times New Roman"/>
          <w:color w:val="000000" w:themeColor="text1"/>
          <w:kern w:val="0"/>
          <w:sz w:val="32"/>
          <w:szCs w:val="32"/>
          <w14:textFill>
            <w14:solidFill>
              <w14:schemeClr w14:val="tx1"/>
            </w14:solidFill>
          </w14:textFill>
        </w:rPr>
        <w:t>推进优质护理服务</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完善中医专科建设，加强中医药人才培养和引进，中医类别执业医师占执业医师比重超过10%，中医药继续教育覆盖率100%，中医药重大科技项目实施取得重要进展和成果。争创国家妇幼保健中医特色专科，创成江苏省妇幼中医技术培训基地，创成市级中医（中西医结合）重点专科。</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4.推进党建与业务融合互进。</w:t>
      </w:r>
      <w:r>
        <w:rPr>
          <w:rFonts w:hint="default" w:ascii="Times New Roman" w:hAnsi="Times New Roman" w:eastAsia="仿宋_GB2312" w:cs="Times New Roman"/>
          <w:color w:val="000000" w:themeColor="text1"/>
          <w:sz w:val="32"/>
          <w:szCs w:val="32"/>
          <w14:textFill>
            <w14:solidFill>
              <w14:schemeClr w14:val="tx1"/>
            </w14:solidFill>
          </w14:textFill>
        </w:rPr>
        <w:t>进一步强化系统思维，在工作流程设计上，把党建工作融进业务工作的全过程，渗透到业务工作的各个环节。在工作安排上坚持一起谋划、一起部署、一起落实、一起检查，切实保障医院健康稳定发展大局。建强支部堡垒，打造一支部一品牌，每年评选出5个基层党建品牌，通过5年的打造，力争创建1至2个市级或省级党建品牌。结合年度重点工作，印发党建品牌实施方案，实现党支部全覆盖。从严推进党风廉政建设，堵塞制度漏洞，强化医德医风、法规法纪和反腐倡廉教育，不断增强拒腐防变的能力，巩固“廉洁妇幼”建设成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（五）促进“五大提升”</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1.着力提升业务质量管理。</w:t>
      </w:r>
      <w:r>
        <w:rPr>
          <w:rFonts w:hint="default" w:ascii="Times New Roman" w:hAnsi="Times New Roman" w:eastAsia="仿宋_GB2312" w:cs="Times New Roman"/>
          <w:color w:val="000000" w:themeColor="text1"/>
          <w:sz w:val="32"/>
          <w:szCs w:val="32"/>
          <w14:textFill>
            <w14:solidFill>
              <w14:schemeClr w14:val="tx1"/>
            </w14:solidFill>
          </w14:textFill>
        </w:rPr>
        <w:t>以《三级甲等妇幼保健院评审标准与实施细则》为标准，通过医疗质量体系建设、机制建设、制度建设，确保重大医疗质量问题“零”发生的管理目标。加强组织建设与制度建设，发挥医疗质量与安全管理委员会的职能，强化履职能力；深化过程质量、结构质控与结果质控体系建设，加强重点环节、重点部门和关键时段的质量控制；持续深入推进优质护理服务，提升护理服务质量。护理专业质量控制指标有效落实。充分发挥医护协同效用；推进科室医疗质量管理工作，落实科主任与护士长的科室质量与安全管理第一责任人的工作职责；强化医务人员执业行为的监管、考核，完善医务人员医疗质量与服务能力评价体系；深化医疗卫生应急管理建设，提升医务人员卫生应急能力与危重症患者急救能力；加强院、科二级医疗质量管理工具、医疗诊疗数据分析和结果的运用，通过信息化手段，查摆问题，持续改进，逐步实现精细化管理向精准化管理转变。进一步拓展保健业务内涵，促进保健与临床相融合。</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2.持续提升创新发展能力。</w:t>
      </w:r>
      <w:r>
        <w:rPr>
          <w:rFonts w:hint="default" w:ascii="Times New Roman" w:hAnsi="Times New Roman" w:eastAsia="仿宋_GB2312" w:cs="Times New Roman"/>
          <w:color w:val="000000" w:themeColor="text1"/>
          <w:sz w:val="32"/>
          <w:szCs w:val="32"/>
          <w14:textFill>
            <w14:solidFill>
              <w14:schemeClr w14:val="tx1"/>
            </w14:solidFill>
          </w14:textFill>
        </w:rPr>
        <w:t>人才是创新发展的第一资源，我院将结合发展需求，</w:t>
      </w:r>
      <w:r>
        <w:rPr>
          <w:rFonts w:hint="default" w:ascii="Times New Roman" w:hAnsi="Times New Roman" w:eastAsia="仿宋_GB2312" w:cs="Times New Roman"/>
          <w:color w:val="000000" w:themeColor="text1"/>
          <w:kern w:val="0"/>
          <w:sz w:val="32"/>
          <w:szCs w:val="32"/>
          <w14:textFill>
            <w14:solidFill>
              <w14:schemeClr w14:val="tx1"/>
            </w14:solidFill>
          </w14:textFill>
        </w:rPr>
        <w:t>加大力度引进双创团队、江苏特聘医学专家和双创博士，招录5至10名博士，80至120名硕士研究生。培养在职博士5至10名、在职硕士研究生10至20名、市“521”人才40人以上、省“333”人才5人以上，培养1至2名医院管理博士。提高临床医护人员学历水平，到2025年，医院硕士及副高以上人才达到300人。持续提升科教能力，</w:t>
      </w:r>
      <w:r>
        <w:rPr>
          <w:rFonts w:hint="default" w:ascii="Times New Roman" w:hAnsi="Times New Roman" w:eastAsia="仿宋_GB2312" w:cs="Times New Roman"/>
          <w:color w:val="000000" w:themeColor="text1"/>
          <w:sz w:val="32"/>
          <w:szCs w:val="32"/>
          <w14:textFill>
            <w14:solidFill>
              <w14:schemeClr w14:val="tx1"/>
            </w14:solidFill>
          </w14:textFill>
        </w:rPr>
        <w:t>“十四五”期间，实现各级各类科研项目每年立项25项以上，国家自然科学基金总立项1至2项，省级科研项目每年立项5项以上。各类新技术引进奖、科技进步奖等每年获得10项以上，力争获得省科技进步奖1项。每年发表核心及以上论文30篇，其中SCI及中华系列论文总数实现每年平均15篇以上。每年获得各类专利10项以上，继续教育项目每年立项45项以上，其中国家级继教项目立项2至3项。取得教学科研课题立项4至5项，争取实现省级教学课题零的突破。建成1个以上院士工作室。</w:t>
      </w:r>
    </w:p>
    <w:p>
      <w:pPr>
        <w:pStyle w:val="4"/>
        <w:keepNext w:val="0"/>
        <w:keepLines w:val="0"/>
        <w:pageBreakBefore w:val="0"/>
        <w:widowControl w:val="0"/>
        <w:kinsoku/>
        <w:wordWrap/>
        <w:overflowPunct/>
        <w:topLinePunct w:val="0"/>
        <w:autoSpaceDE/>
        <w:autoSpaceDN/>
        <w:bidi w:val="0"/>
        <w:adjustRightInd/>
        <w:snapToGrid/>
        <w:spacing w:after="0" w:line="540" w:lineRule="exact"/>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-1905</wp:posOffset>
                </wp:positionH>
                <wp:positionV relativeFrom="paragraph">
                  <wp:posOffset>202565</wp:posOffset>
                </wp:positionV>
                <wp:extent cx="5278120" cy="3669665"/>
                <wp:effectExtent l="4445" t="4445" r="13335" b="21590"/>
                <wp:wrapNone/>
                <wp:docPr id="5" name="文本框 5"/>
                <wp:cNvGraphicFramePr/>
                <a:graphic xmlns:a="http://schemas.openxmlformats.org/drawingml/2006/main">
                  <a:graphicData uri="http://schemas.microsoft.com/office/word/2010/wordprocessingShape">
                    <wps:wsp>
                      <wps:cNvSpPr txBox="1"/>
                      <wps:spPr>
                        <a:xfrm>
                          <a:off x="0" y="0"/>
                          <a:ext cx="5278120" cy="36696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560" w:lineRule="exact"/>
                              <w:ind w:firstLine="602" w:firstLineChars="200"/>
                              <w:jc w:val="center"/>
                              <w:rPr>
                                <w:rFonts w:ascii="仿宋_GB2312" w:hAnsi="仿宋_GB2312" w:eastAsia="仿宋_GB2312" w:cs="仿宋_GB2312"/>
                                <w:b/>
                                <w:bCs/>
                                <w:color w:val="000000" w:themeColor="text1"/>
                                <w:sz w:val="30"/>
                                <w:szCs w:val="30"/>
                                <w14:textFill>
                                  <w14:solidFill>
                                    <w14:schemeClr w14:val="tx1"/>
                                  </w14:solidFill>
                                </w14:textFill>
                              </w:rPr>
                            </w:pPr>
                            <w:r>
                              <w:rPr>
                                <w:rFonts w:hint="eastAsia" w:ascii="仿宋_GB2312" w:hAnsi="仿宋_GB2312" w:eastAsia="仿宋_GB2312" w:cs="仿宋_GB2312"/>
                                <w:b/>
                                <w:bCs/>
                                <w:color w:val="000000" w:themeColor="text1"/>
                                <w:sz w:val="30"/>
                                <w:szCs w:val="30"/>
                                <w14:textFill>
                                  <w14:solidFill>
                                    <w14:schemeClr w14:val="tx1"/>
                                  </w14:solidFill>
                                </w14:textFill>
                              </w:rPr>
                              <w:t xml:space="preserve">专栏3 </w:t>
                            </w:r>
                            <w:r>
                              <w:rPr>
                                <w:rFonts w:hint="eastAsia" w:ascii="仿宋_GB2312" w:hAnsi="仿宋_GB2312" w:eastAsia="仿宋_GB2312" w:cs="仿宋_GB2312"/>
                                <w:color w:val="000000" w:themeColor="text1"/>
                                <w:sz w:val="30"/>
                                <w:szCs w:val="30"/>
                                <w14:textFill>
                                  <w14:solidFill>
                                    <w14:schemeClr w14:val="tx1"/>
                                  </w14:solidFill>
                                </w14:textFill>
                              </w:rPr>
                              <w:t>开展学专科建设提升行动</w:t>
                            </w:r>
                          </w:p>
                          <w:p>
                            <w:pPr>
                              <w:spacing w:line="580" w:lineRule="atLeast"/>
                              <w:ind w:firstLine="641"/>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分类分级推进学专科建设，形成“尖峰”“高峰”“高地”学专科群，至“十四五”期末，创建国家级妇幼保健特色专科不少于1个（尖峰学科）；新增省级临床重点专科不少于1个 ；省妇幼重点学科不少于4个（高峰学科）；新增</w:t>
                            </w:r>
                            <w:r>
                              <w:rPr>
                                <w:rFonts w:hint="eastAsia" w:ascii="仿宋_GB2312" w:hAnsi="仿宋_GB2312" w:eastAsia="仿宋_GB2312" w:cs="仿宋_GB2312"/>
                                <w:color w:val="000000" w:themeColor="text1"/>
                                <w:kern w:val="0"/>
                                <w:sz w:val="30"/>
                                <w:szCs w:val="30"/>
                                <w14:textFill>
                                  <w14:solidFill>
                                    <w14:schemeClr w14:val="tx1"/>
                                  </w14:solidFill>
                                </w14:textFill>
                              </w:rPr>
                              <w:t>市级临床重点学专科2-3个；在</w:t>
                            </w:r>
                            <w:r>
                              <w:rPr>
                                <w:rFonts w:hint="eastAsia" w:ascii="仿宋_GB2312" w:hAnsi="仿宋_GB2312" w:eastAsia="仿宋_GB2312" w:cs="仿宋_GB2312"/>
                                <w:color w:val="000000" w:themeColor="text1"/>
                                <w:sz w:val="30"/>
                                <w:szCs w:val="30"/>
                                <w14:textFill>
                                  <w14:solidFill>
                                    <w14:schemeClr w14:val="tx1"/>
                                  </w14:solidFill>
                                </w14:textFill>
                              </w:rPr>
                              <w:t>“</w:t>
                            </w:r>
                            <w:r>
                              <w:rPr>
                                <w:rFonts w:hint="eastAsia" w:ascii="仿宋_GB2312" w:hAnsi="仿宋_GB2312" w:eastAsia="仿宋_GB2312" w:cs="仿宋_GB2312"/>
                                <w:color w:val="000000" w:themeColor="text1"/>
                                <w:kern w:val="0"/>
                                <w:sz w:val="30"/>
                                <w:szCs w:val="30"/>
                                <w14:textFill>
                                  <w14:solidFill>
                                    <w14:schemeClr w14:val="tx1"/>
                                  </w14:solidFill>
                                </w14:textFill>
                              </w:rPr>
                              <w:t>花果山·科教强医工程</w:t>
                            </w:r>
                            <w:r>
                              <w:rPr>
                                <w:rFonts w:hint="eastAsia" w:ascii="仿宋_GB2312" w:hAnsi="仿宋_GB2312" w:eastAsia="仿宋_GB2312" w:cs="仿宋_GB2312"/>
                                <w:color w:val="000000" w:themeColor="text1"/>
                                <w:sz w:val="30"/>
                                <w:szCs w:val="30"/>
                                <w14:textFill>
                                  <w14:solidFill>
                                    <w14:schemeClr w14:val="tx1"/>
                                  </w14:solidFill>
                                </w14:textFill>
                              </w:rPr>
                              <w:t>”</w:t>
                            </w:r>
                            <w:r>
                              <w:rPr>
                                <w:rFonts w:hint="eastAsia" w:ascii="仿宋_GB2312" w:hAnsi="仿宋_GB2312" w:eastAsia="仿宋_GB2312" w:cs="仿宋_GB2312"/>
                                <w:color w:val="000000" w:themeColor="text1"/>
                                <w:kern w:val="0"/>
                                <w:sz w:val="30"/>
                                <w:szCs w:val="30"/>
                                <w14:textFill>
                                  <w14:solidFill>
                                    <w14:schemeClr w14:val="tx1"/>
                                  </w14:solidFill>
                                </w14:textFill>
                              </w:rPr>
                              <w:t>中创建市级医学科技创新平台1个，医学重点学科/实验室2-3个，医学创新团队2-3个；“花果山卫生攀峰计划”中创建市高峰项目3个、高地项目1个。</w:t>
                            </w:r>
                          </w:p>
                          <w:p>
                            <w:pPr>
                              <w:pStyle w:val="4"/>
                              <w:spacing w:line="580" w:lineRule="atLeast"/>
                              <w:rPr>
                                <w:color w:val="000000" w:themeColor="text1"/>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15pt;margin-top:15.95pt;height:288.95pt;width:415.6pt;z-index:251667456;mso-width-relative:page;mso-height-relative:page;" fillcolor="#FFFFFF [3201]" filled="t" stroked="t" coordsize="21600,21600" o:gfxdata="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V7hZtdUA&#10;AAAIAQAADwAAAAAAAAABACAAAAAiAAAAZHJzL2Rvd25yZXYueG1sUEsBAhQAFAAAAAgAh07iQC58&#10;bWlbAgAAuAQAAA4AAAAAAAAAAQAgAAAAJAEAAGRycy9lMm9Eb2MueG1sUEsFBgAAAAAGAAYAWQEA&#10;APEFAAAAAA==&#10;">
                <v:fill on="t" focussize="0,0"/>
                <v:stroke weight="0.5pt" color="#000000 [3204]" joinstyle="round"/>
                <v:imagedata o:title=""/>
                <o:lock v:ext="edit" aspectratio="f"/>
                <v:textbox>
                  <w:txbxContent>
                    <w:p>
                      <w:pPr>
                        <w:spacing w:line="560" w:lineRule="exact"/>
                        <w:ind w:firstLine="602" w:firstLineChars="200"/>
                        <w:jc w:val="center"/>
                        <w:rPr>
                          <w:rFonts w:ascii="仿宋_GB2312" w:hAnsi="仿宋_GB2312" w:eastAsia="仿宋_GB2312" w:cs="仿宋_GB2312"/>
                          <w:b/>
                          <w:bCs/>
                          <w:color w:val="000000" w:themeColor="text1"/>
                          <w:sz w:val="30"/>
                          <w:szCs w:val="30"/>
                          <w14:textFill>
                            <w14:solidFill>
                              <w14:schemeClr w14:val="tx1"/>
                            </w14:solidFill>
                          </w14:textFill>
                        </w:rPr>
                      </w:pPr>
                      <w:r>
                        <w:rPr>
                          <w:rFonts w:hint="eastAsia" w:ascii="仿宋_GB2312" w:hAnsi="仿宋_GB2312" w:eastAsia="仿宋_GB2312" w:cs="仿宋_GB2312"/>
                          <w:b/>
                          <w:bCs/>
                          <w:color w:val="000000" w:themeColor="text1"/>
                          <w:sz w:val="30"/>
                          <w:szCs w:val="30"/>
                          <w14:textFill>
                            <w14:solidFill>
                              <w14:schemeClr w14:val="tx1"/>
                            </w14:solidFill>
                          </w14:textFill>
                        </w:rPr>
                        <w:t xml:space="preserve">专栏3 </w:t>
                      </w:r>
                      <w:r>
                        <w:rPr>
                          <w:rFonts w:hint="eastAsia" w:ascii="仿宋_GB2312" w:hAnsi="仿宋_GB2312" w:eastAsia="仿宋_GB2312" w:cs="仿宋_GB2312"/>
                          <w:color w:val="000000" w:themeColor="text1"/>
                          <w:sz w:val="30"/>
                          <w:szCs w:val="30"/>
                          <w14:textFill>
                            <w14:solidFill>
                              <w14:schemeClr w14:val="tx1"/>
                            </w14:solidFill>
                          </w14:textFill>
                        </w:rPr>
                        <w:t>开展学专科建设提升行动</w:t>
                      </w:r>
                    </w:p>
                    <w:p>
                      <w:pPr>
                        <w:spacing w:line="580" w:lineRule="atLeast"/>
                        <w:ind w:firstLine="641"/>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分类分级推进学专科建设，形成“尖峰”“高峰”“高地”学专科群，至“十四五”期末，创建国家级妇幼保健特色专科不少于1个（尖峰学科）；新增省级临床重点专科不少于1个 ；省妇幼重点学科不少于4个（高峰学科）；新增</w:t>
                      </w:r>
                      <w:r>
                        <w:rPr>
                          <w:rFonts w:hint="eastAsia" w:ascii="仿宋_GB2312" w:hAnsi="仿宋_GB2312" w:eastAsia="仿宋_GB2312" w:cs="仿宋_GB2312"/>
                          <w:color w:val="000000" w:themeColor="text1"/>
                          <w:kern w:val="0"/>
                          <w:sz w:val="30"/>
                          <w:szCs w:val="30"/>
                          <w14:textFill>
                            <w14:solidFill>
                              <w14:schemeClr w14:val="tx1"/>
                            </w14:solidFill>
                          </w14:textFill>
                        </w:rPr>
                        <w:t>市级临床重点学专科2-3个；在</w:t>
                      </w:r>
                      <w:r>
                        <w:rPr>
                          <w:rFonts w:hint="eastAsia" w:ascii="仿宋_GB2312" w:hAnsi="仿宋_GB2312" w:eastAsia="仿宋_GB2312" w:cs="仿宋_GB2312"/>
                          <w:color w:val="000000" w:themeColor="text1"/>
                          <w:sz w:val="30"/>
                          <w:szCs w:val="30"/>
                          <w14:textFill>
                            <w14:solidFill>
                              <w14:schemeClr w14:val="tx1"/>
                            </w14:solidFill>
                          </w14:textFill>
                        </w:rPr>
                        <w:t>“</w:t>
                      </w:r>
                      <w:r>
                        <w:rPr>
                          <w:rFonts w:hint="eastAsia" w:ascii="仿宋_GB2312" w:hAnsi="仿宋_GB2312" w:eastAsia="仿宋_GB2312" w:cs="仿宋_GB2312"/>
                          <w:color w:val="000000" w:themeColor="text1"/>
                          <w:kern w:val="0"/>
                          <w:sz w:val="30"/>
                          <w:szCs w:val="30"/>
                          <w14:textFill>
                            <w14:solidFill>
                              <w14:schemeClr w14:val="tx1"/>
                            </w14:solidFill>
                          </w14:textFill>
                        </w:rPr>
                        <w:t>花果山·科教强医工程</w:t>
                      </w:r>
                      <w:r>
                        <w:rPr>
                          <w:rFonts w:hint="eastAsia" w:ascii="仿宋_GB2312" w:hAnsi="仿宋_GB2312" w:eastAsia="仿宋_GB2312" w:cs="仿宋_GB2312"/>
                          <w:color w:val="000000" w:themeColor="text1"/>
                          <w:sz w:val="30"/>
                          <w:szCs w:val="30"/>
                          <w14:textFill>
                            <w14:solidFill>
                              <w14:schemeClr w14:val="tx1"/>
                            </w14:solidFill>
                          </w14:textFill>
                        </w:rPr>
                        <w:t>”</w:t>
                      </w:r>
                      <w:r>
                        <w:rPr>
                          <w:rFonts w:hint="eastAsia" w:ascii="仿宋_GB2312" w:hAnsi="仿宋_GB2312" w:eastAsia="仿宋_GB2312" w:cs="仿宋_GB2312"/>
                          <w:color w:val="000000" w:themeColor="text1"/>
                          <w:kern w:val="0"/>
                          <w:sz w:val="30"/>
                          <w:szCs w:val="30"/>
                          <w14:textFill>
                            <w14:solidFill>
                              <w14:schemeClr w14:val="tx1"/>
                            </w14:solidFill>
                          </w14:textFill>
                        </w:rPr>
                        <w:t>中创建市级医学科技创新平台1个，医学重点学科/实验室2-3个，医学创新团队2-3个；“花果山卫生攀峰计划”中创建市高峰项目3个、高地项目1个。</w:t>
                      </w:r>
                    </w:p>
                    <w:p>
                      <w:pPr>
                        <w:pStyle w:val="4"/>
                        <w:spacing w:line="580" w:lineRule="atLeast"/>
                        <w:rPr>
                          <w:color w:val="000000" w:themeColor="text1"/>
                          <w14:textFill>
                            <w14:solidFill>
                              <w14:schemeClr w14:val="tx1"/>
                            </w14:solidFill>
                          </w14:textFill>
                        </w:rPr>
                      </w:pPr>
                    </w:p>
                  </w:txbxContent>
                </v:textbox>
              </v:shape>
            </w:pict>
          </mc:Fallback>
        </mc:AlternateContent>
      </w:r>
    </w:p>
    <w:p>
      <w:pPr>
        <w:pStyle w:val="4"/>
        <w:keepNext w:val="0"/>
        <w:keepLines w:val="0"/>
        <w:pageBreakBefore w:val="0"/>
        <w:widowControl w:val="0"/>
        <w:kinsoku/>
        <w:wordWrap/>
        <w:overflowPunct/>
        <w:topLinePunct w:val="0"/>
        <w:autoSpaceDE/>
        <w:autoSpaceDN/>
        <w:bidi w:val="0"/>
        <w:adjustRightInd/>
        <w:snapToGrid/>
        <w:spacing w:after="0" w:line="540" w:lineRule="exact"/>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642"/>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p>
    <w:p>
      <w:pPr>
        <w:pStyle w:val="4"/>
        <w:keepNext w:val="0"/>
        <w:keepLines w:val="0"/>
        <w:pageBreakBefore w:val="0"/>
        <w:widowControl w:val="0"/>
        <w:kinsoku/>
        <w:wordWrap/>
        <w:overflowPunct/>
        <w:topLinePunct w:val="0"/>
        <w:autoSpaceDE/>
        <w:autoSpaceDN/>
        <w:bidi w:val="0"/>
        <w:adjustRightInd/>
        <w:snapToGrid/>
        <w:spacing w:after="0" w:line="540" w:lineRule="exact"/>
        <w:jc w:val="both"/>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p>
    <w:p>
      <w:pPr>
        <w:pStyle w:val="4"/>
        <w:keepNext w:val="0"/>
        <w:keepLines w:val="0"/>
        <w:pageBreakBefore w:val="0"/>
        <w:widowControl w:val="0"/>
        <w:kinsoku/>
        <w:wordWrap/>
        <w:overflowPunct/>
        <w:topLinePunct w:val="0"/>
        <w:autoSpaceDE/>
        <w:autoSpaceDN/>
        <w:bidi w:val="0"/>
        <w:adjustRightInd/>
        <w:snapToGrid/>
        <w:spacing w:after="0" w:line="540" w:lineRule="exact"/>
        <w:jc w:val="both"/>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p>
    <w:p>
      <w:pPr>
        <w:pStyle w:val="4"/>
        <w:keepNext w:val="0"/>
        <w:keepLines w:val="0"/>
        <w:pageBreakBefore w:val="0"/>
        <w:widowControl w:val="0"/>
        <w:kinsoku/>
        <w:wordWrap/>
        <w:overflowPunct/>
        <w:topLinePunct w:val="0"/>
        <w:autoSpaceDE/>
        <w:autoSpaceDN/>
        <w:bidi w:val="0"/>
        <w:adjustRightInd/>
        <w:snapToGrid/>
        <w:spacing w:after="0" w:line="540" w:lineRule="exact"/>
        <w:jc w:val="both"/>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p>
    <w:p>
      <w:pPr>
        <w:pStyle w:val="4"/>
        <w:keepNext w:val="0"/>
        <w:keepLines w:val="0"/>
        <w:pageBreakBefore w:val="0"/>
        <w:widowControl w:val="0"/>
        <w:kinsoku/>
        <w:wordWrap/>
        <w:overflowPunct/>
        <w:topLinePunct w:val="0"/>
        <w:autoSpaceDE/>
        <w:autoSpaceDN/>
        <w:bidi w:val="0"/>
        <w:adjustRightInd/>
        <w:snapToGrid/>
        <w:spacing w:after="0" w:line="540" w:lineRule="exact"/>
        <w:jc w:val="both"/>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p>
    <w:p>
      <w:pPr>
        <w:pStyle w:val="4"/>
        <w:keepNext w:val="0"/>
        <w:keepLines w:val="0"/>
        <w:pageBreakBefore w:val="0"/>
        <w:widowControl w:val="0"/>
        <w:kinsoku/>
        <w:wordWrap/>
        <w:overflowPunct/>
        <w:topLinePunct w:val="0"/>
        <w:autoSpaceDE/>
        <w:autoSpaceDN/>
        <w:bidi w:val="0"/>
        <w:adjustRightInd/>
        <w:snapToGrid/>
        <w:spacing w:after="0" w:line="540" w:lineRule="exact"/>
        <w:jc w:val="both"/>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p>
    <w:p>
      <w:pPr>
        <w:pStyle w:val="4"/>
        <w:keepNext w:val="0"/>
        <w:keepLines w:val="0"/>
        <w:pageBreakBefore w:val="0"/>
        <w:widowControl w:val="0"/>
        <w:kinsoku/>
        <w:wordWrap/>
        <w:overflowPunct/>
        <w:topLinePunct w:val="0"/>
        <w:autoSpaceDE/>
        <w:autoSpaceDN/>
        <w:bidi w:val="0"/>
        <w:adjustRightInd/>
        <w:snapToGrid/>
        <w:spacing w:after="0" w:line="540" w:lineRule="exact"/>
        <w:ind w:firstLine="643" w:firstLineChars="200"/>
        <w:jc w:val="both"/>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p>
    <w:p>
      <w:pPr>
        <w:pStyle w:val="4"/>
        <w:keepNext w:val="0"/>
        <w:keepLines w:val="0"/>
        <w:pageBreakBefore w:val="0"/>
        <w:widowControl w:val="0"/>
        <w:kinsoku/>
        <w:wordWrap/>
        <w:overflowPunct/>
        <w:topLinePunct w:val="0"/>
        <w:autoSpaceDE/>
        <w:autoSpaceDN/>
        <w:bidi w:val="0"/>
        <w:adjustRightInd/>
        <w:snapToGrid/>
        <w:spacing w:after="0" w:line="540" w:lineRule="exact"/>
        <w:ind w:firstLine="643"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3.大力提升考核结果应用。</w:t>
      </w:r>
      <w:r>
        <w:rPr>
          <w:rFonts w:hint="default" w:ascii="Times New Roman" w:hAnsi="Times New Roman" w:eastAsia="仿宋_GB2312" w:cs="Times New Roman"/>
          <w:color w:val="000000" w:themeColor="text1"/>
          <w:kern w:val="0"/>
          <w:sz w:val="32"/>
          <w:szCs w:val="32"/>
          <w14:textFill>
            <w14:solidFill>
              <w14:schemeClr w14:val="tx1"/>
            </w14:solidFill>
          </w14:textFill>
        </w:rPr>
        <w:t>坚持把绩效考核作为医院发展的头号工程，加强组织领导，构建科学高效的绩效考核奖惩机制；对接妇幼保健机构绩效考核，强化三四级手术、中医诊疗及中草药考核，细化耗占比、药占比考核，为提升诊疗水平和患者满意度，促进医院高质量发展提供有力支撑。发挥好考核指挥棒作用，深入开展优质护理服务，加强护理队伍建设，推进专科护士基地、专科门诊运行，促进护理学科发展。优化细化考核目标，明确分工和岗位职责，确保完成“妇孺国医堂”的复审和检验科ISO15189质量和能力体系建设。主动适应医保DIP支付方式改革，规范医务人员医疗服务行为，提升控制成本的内生动力，促进分级诊疗，让医保和医疗“相向而行”。</w:t>
      </w:r>
    </w:p>
    <w:p>
      <w:pPr>
        <w:pStyle w:val="4"/>
        <w:keepNext w:val="0"/>
        <w:keepLines w:val="0"/>
        <w:pageBreakBefore w:val="0"/>
        <w:widowControl w:val="0"/>
        <w:kinsoku/>
        <w:wordWrap/>
        <w:overflowPunct/>
        <w:topLinePunct w:val="0"/>
        <w:autoSpaceDE/>
        <w:autoSpaceDN/>
        <w:bidi w:val="0"/>
        <w:adjustRightInd/>
        <w:snapToGrid/>
        <w:spacing w:after="0" w:line="540" w:lineRule="exact"/>
        <w:ind w:firstLine="643"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4.全面提升安全生产能力。</w:t>
      </w:r>
      <w:r>
        <w:rPr>
          <w:rFonts w:hint="default" w:ascii="Times New Roman" w:hAnsi="Times New Roman" w:eastAsia="仿宋_GB2312" w:cs="Times New Roman"/>
          <w:color w:val="000000" w:themeColor="text1"/>
          <w:sz w:val="32"/>
          <w:szCs w:val="32"/>
          <w14:textFill>
            <w14:solidFill>
              <w14:schemeClr w14:val="tx1"/>
            </w14:solidFill>
          </w14:textFill>
        </w:rPr>
        <w:t>贯彻落实安全生产责任制，强化安全保卫防护网建设，实现安全隐患闭环式管理，每年至少开展两次应急演练，在实战演练中增强全员安全意识，提升应急管理能力。制定《连云港市妇幼保健院建设平安医院实施方案》，明确责任分工，持续推动省平安示范医院建设工作，构建和谐诊疗环境，保障医患双方合法权益。全面强化法治建设，健全法治工作机制，制定并落实“八五”普法规划，深入推进法治建设进临床一线，全面提升依法治理水平和依法执业能力，凝聚法治建设合力，营造良好法治环境。提升突发公共卫生事件应急处置能力，完善组织架构，着眼实战，加强业务培训和技能培训，强化应急演练，形成组织管理有序高效、人员业务素质过硬、应急救援及时响应、后勤保障措施有力的处置体系。</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5.巩固提升文化建设成果。</w:t>
      </w:r>
      <w:r>
        <w:rPr>
          <w:rFonts w:hint="default" w:ascii="Times New Roman" w:hAnsi="Times New Roman" w:eastAsia="仿宋_GB2312" w:cs="Times New Roman"/>
          <w:color w:val="000000" w:themeColor="text1"/>
          <w:sz w:val="32"/>
          <w:szCs w:val="32"/>
          <w14:textFill>
            <w14:solidFill>
              <w14:schemeClr w14:val="tx1"/>
            </w14:solidFill>
          </w14:textFill>
        </w:rPr>
        <w:t>把学习宣传党的二十大精神作为重要政治任务，多形式多层次宣传好党的二十大精神，统一思想、凝聚人心。</w:t>
      </w:r>
      <w:r>
        <w:rPr>
          <w:rFonts w:hint="default" w:ascii="Times New Roman" w:hAnsi="Times New Roman" w:eastAsia="仿宋_GB2312" w:cs="Times New Roman"/>
          <w:color w:val="000000" w:themeColor="text1"/>
          <w:sz w:val="32"/>
          <w:szCs w:val="32"/>
          <w:lang w:eastAsia="zh-Hans"/>
          <w14:textFill>
            <w14:solidFill>
              <w14:schemeClr w14:val="tx1"/>
            </w14:solidFill>
          </w14:textFill>
        </w:rPr>
        <w:t>坚持以社会主义核心价值观为引领，</w:t>
      </w:r>
      <w:r>
        <w:rPr>
          <w:rFonts w:hint="default" w:ascii="Times New Roman" w:hAnsi="Times New Roman" w:eastAsia="仿宋_GB2312" w:cs="Times New Roman"/>
          <w:color w:val="000000" w:themeColor="text1"/>
          <w:sz w:val="32"/>
          <w:szCs w:val="32"/>
          <w14:textFill>
            <w14:solidFill>
              <w14:schemeClr w14:val="tx1"/>
            </w14:solidFill>
          </w14:textFill>
        </w:rPr>
        <w:t>深入</w:t>
      </w:r>
      <w:r>
        <w:rPr>
          <w:rFonts w:hint="default" w:ascii="Times New Roman" w:hAnsi="Times New Roman" w:eastAsia="仿宋_GB2312" w:cs="Times New Roman"/>
          <w:color w:val="000000" w:themeColor="text1"/>
          <w:sz w:val="32"/>
          <w:szCs w:val="32"/>
          <w:lang w:eastAsia="zh-Hans"/>
          <w14:textFill>
            <w14:solidFill>
              <w14:schemeClr w14:val="tx1"/>
            </w14:solidFill>
          </w14:textFill>
        </w:rPr>
        <w:t>践行新时代医疗卫生职业精神，</w:t>
      </w:r>
      <w:r>
        <w:rPr>
          <w:rFonts w:hint="default" w:ascii="Times New Roman" w:hAnsi="Times New Roman" w:eastAsia="仿宋_GB2312" w:cs="Times New Roman"/>
          <w:color w:val="000000" w:themeColor="text1"/>
          <w:sz w:val="32"/>
          <w:szCs w:val="32"/>
          <w14:textFill>
            <w14:solidFill>
              <w14:schemeClr w14:val="tx1"/>
            </w14:solidFill>
          </w14:textFill>
        </w:rPr>
        <w:t>巩固文明创建成果。实施“文明实践在妇幼”行动，打造2个省级文化品牌，创成全国文明单位。</w:t>
      </w:r>
      <w:r>
        <w:rPr>
          <w:rFonts w:hint="default" w:ascii="Times New Roman" w:hAnsi="Times New Roman" w:eastAsia="仿宋_GB2312" w:cs="Times New Roman"/>
          <w:color w:val="000000" w:themeColor="text1"/>
          <w:sz w:val="32"/>
          <w:szCs w:val="32"/>
          <w:lang w:eastAsia="zh-Hans"/>
          <w14:textFill>
            <w14:solidFill>
              <w14:schemeClr w14:val="tx1"/>
            </w14:solidFill>
          </w14:textFill>
        </w:rPr>
        <w:t>围绕传统节日，</w:t>
      </w:r>
      <w:r>
        <w:rPr>
          <w:rFonts w:hint="default" w:ascii="Times New Roman" w:hAnsi="Times New Roman" w:eastAsia="仿宋_GB2312" w:cs="Times New Roman"/>
          <w:color w:val="000000" w:themeColor="text1"/>
          <w:sz w:val="32"/>
          <w:szCs w:val="32"/>
          <w14:textFill>
            <w14:solidFill>
              <w14:schemeClr w14:val="tx1"/>
            </w14:solidFill>
          </w14:textFill>
        </w:rPr>
        <w:t>聚焦</w:t>
      </w:r>
      <w:r>
        <w:rPr>
          <w:rFonts w:hint="default" w:ascii="Times New Roman" w:hAnsi="Times New Roman" w:eastAsia="仿宋_GB2312" w:cs="Times New Roman"/>
          <w:color w:val="000000" w:themeColor="text1"/>
          <w:sz w:val="32"/>
          <w:szCs w:val="32"/>
          <w:lang w:eastAsia="zh-Hans"/>
          <w14:textFill>
            <w14:solidFill>
              <w14:schemeClr w14:val="tx1"/>
            </w14:solidFill>
          </w14:textFill>
        </w:rPr>
        <w:t>百姓文化和健康需求，</w:t>
      </w:r>
      <w:r>
        <w:rPr>
          <w:rFonts w:hint="default" w:ascii="Times New Roman" w:hAnsi="Times New Roman" w:eastAsia="仿宋_GB2312" w:cs="Times New Roman"/>
          <w:color w:val="000000" w:themeColor="text1"/>
          <w:sz w:val="32"/>
          <w:szCs w:val="32"/>
          <w14:textFill>
            <w14:solidFill>
              <w14:schemeClr w14:val="tx1"/>
            </w14:solidFill>
          </w14:textFill>
        </w:rPr>
        <w:t>更好打造</w:t>
      </w:r>
      <w:r>
        <w:rPr>
          <w:rFonts w:hint="default" w:ascii="Times New Roman" w:hAnsi="Times New Roman" w:eastAsia="仿宋_GB2312" w:cs="Times New Roman"/>
          <w:color w:val="000000" w:themeColor="text1"/>
          <w:sz w:val="32"/>
          <w:szCs w:val="32"/>
          <w:lang w:eastAsia="zh-Hans"/>
          <w14:textFill>
            <w14:solidFill>
              <w14:schemeClr w14:val="tx1"/>
            </w14:solidFill>
          </w14:textFill>
        </w:rPr>
        <w:t>“我们的节日”</w:t>
      </w:r>
      <w:r>
        <w:rPr>
          <w:rFonts w:hint="default" w:ascii="Times New Roman" w:hAnsi="Times New Roman" w:eastAsia="仿宋_GB2312" w:cs="Times New Roman"/>
          <w:color w:val="000000" w:themeColor="text1"/>
          <w:sz w:val="32"/>
          <w:szCs w:val="32"/>
          <w14:textFill>
            <w14:solidFill>
              <w14:schemeClr w14:val="tx1"/>
            </w14:solidFill>
          </w14:textFill>
        </w:rPr>
        <w:t>公益</w:t>
      </w:r>
      <w:r>
        <w:rPr>
          <w:rFonts w:hint="default" w:ascii="Times New Roman" w:hAnsi="Times New Roman" w:eastAsia="仿宋_GB2312" w:cs="Times New Roman"/>
          <w:color w:val="000000" w:themeColor="text1"/>
          <w:sz w:val="32"/>
          <w:szCs w:val="32"/>
          <w:lang w:eastAsia="zh-Hans"/>
          <w14:textFill>
            <w14:solidFill>
              <w14:schemeClr w14:val="tx1"/>
            </w14:solidFill>
          </w14:textFill>
        </w:rPr>
        <w:t>品牌。坚持党建引领的文化建设理念，以二十四节气为纲，打造融合党建、节气文化、中医药等内涵于一体的“妇幼24节气”文化品牌。</w:t>
      </w:r>
      <w:r>
        <w:rPr>
          <w:rFonts w:hint="default" w:ascii="Times New Roman" w:hAnsi="Times New Roman" w:eastAsia="仿宋_GB2312" w:cs="Times New Roman"/>
          <w:color w:val="000000" w:themeColor="text1"/>
          <w:sz w:val="32"/>
          <w:szCs w:val="32"/>
          <w14:textFill>
            <w14:solidFill>
              <w14:schemeClr w14:val="tx1"/>
            </w14:solidFill>
          </w14:textFill>
        </w:rPr>
        <w:t>设计建设富有妇幼特色的微景观、网红打卡地，建成妇幼文化陈列馆、中医药文化体验馆，打造党建文化长廊、廉政文化长廊、健康科普文化长廊。形成医院文化品牌统领、科室文化千姿百态、文明板块各成一景、文化阵地内涵丰富的妇幼文化体系，进一步增强职工向心力，为推动高质量发展的凝聚强大精神力量。</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四、保障措施</w:t>
      </w:r>
      <w:bookmarkStart w:id="0" w:name="_Toc27407"/>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(一)加强组织领导</w:t>
      </w:r>
      <w:bookmarkEnd w:id="0"/>
      <w:r>
        <w:rPr>
          <w:rFonts w:hint="default" w:ascii="Times New Roman" w:hAnsi="Times New Roman" w:eastAsia="仿宋_GB2312" w:cs="Times New Roman"/>
          <w:b/>
          <w:bCs/>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shd w:val="clear" w:color="auto" w:fill="FFFFFF"/>
          <w:lang w:bidi="ar"/>
          <w14:textFill>
            <w14:solidFill>
              <w14:schemeClr w14:val="tx1"/>
            </w14:solidFill>
          </w14:textFill>
        </w:rPr>
        <w:t>成立领导小组，主要负责同志作为第一责任人，带头抓落实，</w:t>
      </w:r>
      <w:r>
        <w:rPr>
          <w:rFonts w:hint="default" w:ascii="Times New Roman" w:hAnsi="Times New Roman" w:eastAsia="仿宋_GB2312" w:cs="Times New Roman"/>
          <w:color w:val="000000" w:themeColor="text1"/>
          <w:sz w:val="32"/>
          <w:szCs w:val="32"/>
          <w14:textFill>
            <w14:solidFill>
              <w14:schemeClr w14:val="tx1"/>
            </w14:solidFill>
          </w14:textFill>
        </w:rPr>
        <w:t>坚持统筹协调和分工合作的原则，明确本规划各项指标任务的实施责任主体和进度要求，</w:t>
      </w:r>
      <w:r>
        <w:rPr>
          <w:rFonts w:hint="default" w:ascii="Times New Roman" w:hAnsi="Times New Roman" w:eastAsia="仿宋_GB2312" w:cs="Times New Roman"/>
          <w:color w:val="000000" w:themeColor="text1"/>
          <w:sz w:val="32"/>
          <w:szCs w:val="32"/>
          <w:shd w:val="clear" w:color="auto" w:fill="FFFFFF"/>
          <w:lang w:bidi="ar"/>
          <w14:textFill>
            <w14:solidFill>
              <w14:schemeClr w14:val="tx1"/>
            </w14:solidFill>
          </w14:textFill>
        </w:rPr>
        <w:t>真正形成上下联动、齐抓共管的工作格局。</w:t>
      </w:r>
      <w:r>
        <w:rPr>
          <w:rFonts w:hint="default" w:ascii="Times New Roman" w:hAnsi="Times New Roman" w:eastAsia="仿宋_GB2312" w:cs="Times New Roman"/>
          <w:color w:val="000000" w:themeColor="text1"/>
          <w:sz w:val="32"/>
          <w:szCs w:val="32"/>
          <w14:textFill>
            <w14:solidFill>
              <w14:schemeClr w14:val="tx1"/>
            </w14:solidFill>
          </w14:textFill>
        </w:rPr>
        <w:t>加强宣传引导，营造齐抓共管、人人参与的浓厚氛围</w:t>
      </w:r>
      <w:bookmarkStart w:id="1" w:name="_Toc3710"/>
      <w:r>
        <w:rPr>
          <w:rFonts w:hint="default" w:ascii="Times New Roman" w:hAnsi="Times New Roman" w:eastAsia="仿宋_GB2312" w:cs="Times New Roman"/>
          <w:color w:val="000000" w:themeColor="text1"/>
          <w:sz w:val="32"/>
          <w:szCs w:val="32"/>
          <w14:textFill>
            <w14:solidFill>
              <w14:schemeClr w14:val="tx1"/>
            </w14:solidFill>
          </w14:textFill>
        </w:rPr>
        <w:t>，凝聚推动工作的强大合力。</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(二)</w:t>
      </w:r>
      <w:bookmarkEnd w:id="1"/>
      <w:r>
        <w:rPr>
          <w:rFonts w:hint="default" w:ascii="Times New Roman" w:hAnsi="Times New Roman" w:eastAsia="仿宋_GB2312" w:cs="Times New Roman"/>
          <w:b/>
          <w:bCs/>
          <w:color w:val="000000" w:themeColor="text1"/>
          <w:sz w:val="32"/>
          <w:szCs w:val="32"/>
          <w14:textFill>
            <w14:solidFill>
              <w14:schemeClr w14:val="tx1"/>
            </w14:solidFill>
          </w14:textFill>
        </w:rPr>
        <w:t>做好衔接统筹</w:t>
      </w:r>
      <w:r>
        <w:rPr>
          <w:rFonts w:hint="default" w:ascii="Times New Roman" w:hAnsi="Times New Roman" w:eastAsia="仿宋_GB2312" w:cs="Times New Roman"/>
          <w:color w:val="000000" w:themeColor="text1"/>
          <w:sz w:val="32"/>
          <w:szCs w:val="32"/>
          <w14:textFill>
            <w14:solidFill>
              <w14:schemeClr w14:val="tx1"/>
            </w14:solidFill>
          </w14:textFill>
        </w:rPr>
        <w:t>。做好与省市妇幼健康事业发展规划的衔接，做好中医药专项发展规划与本规划的协调，确保总体要求一致，空间配置和时序安排协调有序，形成以总体发展规划为统领，专项规划定位清晰、功能互补的规划体系，提升规划的可操作性。</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(三)强化监测监督。</w:t>
      </w:r>
      <w:r>
        <w:rPr>
          <w:rFonts w:hint="default" w:ascii="Times New Roman" w:hAnsi="Times New Roman" w:eastAsia="仿宋_GB2312" w:cs="Times New Roman"/>
          <w:color w:val="000000" w:themeColor="text1"/>
          <w:sz w:val="32"/>
          <w:szCs w:val="32"/>
          <w14:textFill>
            <w14:solidFill>
              <w14:schemeClr w14:val="tx1"/>
            </w14:solidFill>
          </w14:textFill>
        </w:rPr>
        <w:t>院党委负责本规划的督促检查工作，对规划的实施实行年度监测、中期评估、终期考核，及时掌握规划实施进程，根据监测情况灵活调整工作举措。切实增强监督意识，突出监督重点，制定完善制度措施，建立问题清单、责任清单、任务清单，及时跟进问效，不断把制度优势转化为治理效能，确保规划目标高质量全面完成。</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附：1、护理“十四五”发展规划</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科研教学“十四五”发展规划</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人才建设“十四五”发展规划</w:t>
      </w:r>
    </w:p>
    <w:p>
      <w:pPr>
        <w:pStyle w:val="3"/>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文化建设“十四五”发展规划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5、信息化建设“十四五”发展规划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6、学专科建设“十四五”发展规划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7、妇幼健康联盟“十四五”发展规划</w:t>
      </w:r>
    </w:p>
    <w:p>
      <w:pPr>
        <w:pStyle w:val="2"/>
        <w:rPr>
          <w:rFonts w:hint="default"/>
          <w:lang w:val="en-US" w:eastAsia="zh-CN"/>
        </w:rPr>
      </w:pPr>
      <w:bookmarkStart w:id="2" w:name="_GoBack"/>
      <w:bookmarkEnd w:id="2"/>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13BF53"/>
    <w:multiLevelType w:val="singleLevel"/>
    <w:tmpl w:val="1E13BF53"/>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3YWFjM2JiYjBiMDA3NmU0MjEyYTE5MjkyZGM1ZTIifQ=="/>
  </w:docVars>
  <w:rsids>
    <w:rsidRoot w:val="2C0B6967"/>
    <w:rsid w:val="00597DC4"/>
    <w:rsid w:val="008A6E43"/>
    <w:rsid w:val="008C45E1"/>
    <w:rsid w:val="00AD1E88"/>
    <w:rsid w:val="00E7108A"/>
    <w:rsid w:val="0273012B"/>
    <w:rsid w:val="043F474B"/>
    <w:rsid w:val="046B3025"/>
    <w:rsid w:val="060D2B89"/>
    <w:rsid w:val="0712791D"/>
    <w:rsid w:val="0BFB148C"/>
    <w:rsid w:val="0EBD5B29"/>
    <w:rsid w:val="0F5F07AB"/>
    <w:rsid w:val="0FE1606B"/>
    <w:rsid w:val="10544CF2"/>
    <w:rsid w:val="12A61E39"/>
    <w:rsid w:val="136E716A"/>
    <w:rsid w:val="14A42BC1"/>
    <w:rsid w:val="152E6156"/>
    <w:rsid w:val="16CC5E4A"/>
    <w:rsid w:val="1A081F09"/>
    <w:rsid w:val="1FD82D58"/>
    <w:rsid w:val="1FF3114B"/>
    <w:rsid w:val="207E11AB"/>
    <w:rsid w:val="255167C1"/>
    <w:rsid w:val="26374CE4"/>
    <w:rsid w:val="267A1A13"/>
    <w:rsid w:val="27016C0E"/>
    <w:rsid w:val="271C46D5"/>
    <w:rsid w:val="27B16E5E"/>
    <w:rsid w:val="2922536F"/>
    <w:rsid w:val="2C0B6967"/>
    <w:rsid w:val="2D0B149D"/>
    <w:rsid w:val="2D547DC3"/>
    <w:rsid w:val="2EB63302"/>
    <w:rsid w:val="2F0178C5"/>
    <w:rsid w:val="30CC5B24"/>
    <w:rsid w:val="348B70BE"/>
    <w:rsid w:val="36EB1BDD"/>
    <w:rsid w:val="3A6B0B3E"/>
    <w:rsid w:val="3AF9728D"/>
    <w:rsid w:val="3B226C7A"/>
    <w:rsid w:val="419D5787"/>
    <w:rsid w:val="429A0344"/>
    <w:rsid w:val="45C60897"/>
    <w:rsid w:val="461E0403"/>
    <w:rsid w:val="46DB0887"/>
    <w:rsid w:val="4BD373AA"/>
    <w:rsid w:val="4DEA0062"/>
    <w:rsid w:val="4F442697"/>
    <w:rsid w:val="52135516"/>
    <w:rsid w:val="521A1B8F"/>
    <w:rsid w:val="5A055467"/>
    <w:rsid w:val="616664CE"/>
    <w:rsid w:val="62CD1727"/>
    <w:rsid w:val="642A0E49"/>
    <w:rsid w:val="64FA00F3"/>
    <w:rsid w:val="64FF527C"/>
    <w:rsid w:val="666C3D06"/>
    <w:rsid w:val="66CF3B89"/>
    <w:rsid w:val="691E37FE"/>
    <w:rsid w:val="69AC0697"/>
    <w:rsid w:val="709706C3"/>
    <w:rsid w:val="75543F46"/>
    <w:rsid w:val="772878BA"/>
    <w:rsid w:val="775E429A"/>
    <w:rsid w:val="77697431"/>
    <w:rsid w:val="77F5344C"/>
    <w:rsid w:val="7A36380D"/>
    <w:rsid w:val="7A687405"/>
    <w:rsid w:val="7AD04704"/>
    <w:rsid w:val="7ADE5DE3"/>
    <w:rsid w:val="7AF236CB"/>
    <w:rsid w:val="7B777525"/>
    <w:rsid w:val="7D99719C"/>
    <w:rsid w:val="7E8C2417"/>
    <w:rsid w:val="7EB32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IndexHeading"/>
    <w:basedOn w:val="1"/>
    <w:next w:val="3"/>
    <w:qFormat/>
    <w:uiPriority w:val="0"/>
    <w:pPr>
      <w:spacing w:line="500" w:lineRule="exact"/>
    </w:pPr>
    <w:rPr>
      <w:rFonts w:ascii="仿宋_GB2312" w:eastAsia="仿宋_GB2312"/>
      <w:sz w:val="28"/>
    </w:rPr>
  </w:style>
  <w:style w:type="paragraph" w:customStyle="1" w:styleId="3">
    <w:name w:val="Index1"/>
    <w:basedOn w:val="1"/>
    <w:next w:val="1"/>
    <w:qFormat/>
    <w:uiPriority w:val="0"/>
    <w:pPr>
      <w:suppressLineNumbers/>
      <w:suppressAutoHyphens/>
      <w:spacing w:line="288" w:lineRule="auto"/>
    </w:pPr>
    <w:rPr>
      <w:sz w:val="24"/>
    </w:rPr>
  </w:style>
  <w:style w:type="paragraph" w:styleId="4">
    <w:name w:val="Body Text"/>
    <w:basedOn w:val="1"/>
    <w:semiHidden/>
    <w:unhideWhenUsed/>
    <w:qFormat/>
    <w:uiPriority w:val="99"/>
    <w:pPr>
      <w:spacing w:after="120"/>
    </w:p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Emphasis"/>
    <w:basedOn w:val="10"/>
    <w:qFormat/>
    <w:uiPriority w:val="0"/>
    <w:rPr>
      <w:i/>
    </w:rPr>
  </w:style>
  <w:style w:type="character" w:customStyle="1" w:styleId="12">
    <w:name w:val="页眉 字符"/>
    <w:basedOn w:val="10"/>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9712</Words>
  <Characters>10258</Characters>
  <Lines>73</Lines>
  <Paragraphs>20</Paragraphs>
  <TotalTime>1</TotalTime>
  <ScaleCrop>false</ScaleCrop>
  <LinksUpToDate>false</LinksUpToDate>
  <CharactersWithSpaces>10357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2022-04-22T07:23:00Z</dcterms:created>
  <dc:creator>幸运的猪</dc:creator>
  <cp:lastModifiedBy>admin</cp:lastModifiedBy>
  <cp:lastPrinted>2022-05-12T02:45:00Z</cp:lastPrinted>
  <dcterms:modified xsi:type="dcterms:W3CDTF">2022-05-12T09:02:12Z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24E7721296954654B00FB2759ED0416D</vt:lpwstr>
  </property>
</Properties>
</file>